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idowControl/>
        <w:kinsoku/>
        <w:wordWrap/>
        <w:overflowPunct/>
        <w:topLinePunct w:val="0"/>
        <w:autoSpaceDE/>
        <w:autoSpaceDN/>
        <w:bidi w:val="0"/>
        <w:adjustRightInd w:val="0"/>
        <w:snapToGrid w:val="0"/>
        <w:spacing w:before="0" w:after="0" w:line="460" w:lineRule="exact"/>
        <w:ind w:left="0" w:leftChars="0" w:right="0" w:rightChars="0" w:firstLine="0" w:firstLineChars="0"/>
        <w:textAlignment w:val="auto"/>
      </w:pPr>
    </w:p>
    <w:p>
      <w:pPr>
        <w:pageBreakBefore w:val="0"/>
        <w:widowControl/>
        <w:kinsoku/>
        <w:wordWrap/>
        <w:overflowPunct/>
        <w:topLinePunct w:val="0"/>
        <w:autoSpaceDE/>
        <w:autoSpaceDN/>
        <w:bidi w:val="0"/>
        <w:adjustRightInd w:val="0"/>
        <w:snapToGrid w:val="0"/>
        <w:spacing w:line="460" w:lineRule="exact"/>
        <w:textAlignment w:val="auto"/>
      </w:pPr>
    </w:p>
    <w:p>
      <w:pPr>
        <w:spacing w:line="500" w:lineRule="exact"/>
        <w:ind w:firstLine="5040" w:firstLineChars="1800"/>
        <w:jc w:val="both"/>
        <w:rPr>
          <w:rFonts w:ascii="仿宋" w:hAnsi="仿宋" w:eastAsia="仿宋" w:cs="Times New Roman"/>
          <w:sz w:val="32"/>
          <w:szCs w:val="32"/>
        </w:rPr>
      </w:pPr>
      <w:r>
        <w:rPr>
          <w:rFonts w:hint="eastAsia" w:ascii="仿宋_GB2312" w:hAnsi="仿宋_GB2312" w:eastAsia="仿宋_GB2312" w:cs="仿宋_GB2312"/>
          <w:b w:val="0"/>
          <w:bCs/>
          <w:sz w:val="28"/>
          <w:szCs w:val="28"/>
          <w:lang w:eastAsia="zh-CN"/>
        </w:rPr>
        <w:t>连环表复</w:t>
      </w:r>
      <w:r>
        <w:rPr>
          <w:rFonts w:hint="eastAsia" w:ascii="仿宋" w:hAnsi="仿宋" w:eastAsia="仿宋" w:cs="Times New Roman"/>
          <w:sz w:val="32"/>
          <w:szCs w:val="32"/>
        </w:rPr>
        <w:t>[20</w:t>
      </w:r>
      <w:r>
        <w:rPr>
          <w:rFonts w:hint="eastAsia" w:ascii="仿宋" w:hAnsi="仿宋" w:eastAsia="仿宋" w:cs="Times New Roman"/>
          <w:sz w:val="32"/>
          <w:szCs w:val="32"/>
          <w:lang w:val="en-US" w:eastAsia="zh-CN"/>
        </w:rPr>
        <w:t>20</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83</w:t>
      </w:r>
      <w:bookmarkStart w:id="0" w:name="_GoBack"/>
      <w:bookmarkEnd w:id="0"/>
      <w:r>
        <w:rPr>
          <w:rFonts w:hint="eastAsia" w:ascii="仿宋" w:hAnsi="仿宋" w:eastAsia="仿宋" w:cs="Times New Roman"/>
          <w:sz w:val="32"/>
          <w:szCs w:val="32"/>
        </w:rPr>
        <w:t>号</w:t>
      </w:r>
    </w:p>
    <w:p>
      <w:pPr>
        <w:spacing w:line="500" w:lineRule="exact"/>
        <w:jc w:val="center"/>
        <w:rPr>
          <w:rFonts w:hint="eastAsia" w:asciiTheme="majorEastAsia" w:hAnsiTheme="majorEastAsia" w:eastAsiaTheme="majorEastAsia"/>
          <w:b/>
          <w:bCs w:val="0"/>
          <w:w w:val="100"/>
          <w:sz w:val="44"/>
          <w:szCs w:val="44"/>
        </w:rPr>
      </w:pPr>
      <w:r>
        <w:rPr>
          <w:rFonts w:hint="eastAsia" w:asciiTheme="majorEastAsia" w:hAnsiTheme="majorEastAsia" w:eastAsiaTheme="majorEastAsia"/>
          <w:b/>
          <w:bCs w:val="0"/>
          <w:w w:val="100"/>
          <w:sz w:val="44"/>
          <w:szCs w:val="44"/>
        </w:rPr>
        <w:t>关于对</w:t>
      </w:r>
      <w:r>
        <w:rPr>
          <w:rFonts w:hint="eastAsia" w:asciiTheme="majorEastAsia" w:hAnsiTheme="majorEastAsia" w:eastAsiaTheme="majorEastAsia"/>
          <w:b/>
          <w:bCs w:val="0"/>
          <w:w w:val="100"/>
          <w:sz w:val="44"/>
          <w:szCs w:val="44"/>
          <w:lang w:val="en-US" w:eastAsia="zh-CN"/>
        </w:rPr>
        <w:t>江苏金路源能源服务有限责任公司灌南新盘加油加气站项目</w:t>
      </w:r>
      <w:r>
        <w:rPr>
          <w:rFonts w:hint="eastAsia" w:asciiTheme="majorEastAsia" w:hAnsiTheme="majorEastAsia" w:eastAsiaTheme="majorEastAsia"/>
          <w:b/>
          <w:bCs w:val="0"/>
          <w:w w:val="100"/>
          <w:sz w:val="44"/>
          <w:szCs w:val="44"/>
        </w:rPr>
        <w:t>环境影响报告表的批复</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江苏金路源能源服务有限责任公司</w:t>
      </w:r>
      <w:r>
        <w:rPr>
          <w:rFonts w:hint="eastAsia" w:ascii="仿宋" w:hAnsi="仿宋" w:eastAsia="仿宋" w:cs="仿宋"/>
          <w:sz w:val="32"/>
          <w:szCs w:val="32"/>
        </w:rPr>
        <w:t>：</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你公司委托连云港龙展环保科技有限公司编制的《江苏金路源能源服务有限责任公司灌南新盘加油加气站项目环境影响报告表》（以下简称《报告表》）、连云港灌南县行政审批局的项目代码2020-320724-52-03-521645（灌南行政审批备[2020]53号文）及相关资料收悉。经研究，批复如下：</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一、该项目拟位于江苏省连云港市灌南县田楼镇新盘村，项目占地面积6390平方米。本项目总投资3900万元。</w:t>
      </w:r>
      <w:r>
        <w:rPr>
          <w:rFonts w:hint="eastAsia" w:ascii="Times New Roman" w:hAnsi="仿宋" w:eastAsia="仿宋"/>
          <w:sz w:val="32"/>
          <w:szCs w:val="32"/>
          <w:lang w:val="en-US" w:eastAsia="zh-CN"/>
        </w:rPr>
        <w:t>项目灌南新盘加油加气站</w:t>
      </w:r>
      <w:r>
        <w:rPr>
          <w:rFonts w:hint="eastAsia" w:ascii="仿宋" w:hAnsi="仿宋" w:eastAsia="仿宋" w:cs="仿宋"/>
          <w:sz w:val="32"/>
          <w:szCs w:val="32"/>
          <w:lang w:val="en-US" w:eastAsia="zh-CN"/>
        </w:rPr>
        <w:t>。根据《报告表》的论述及评价结论, 在落实《报告表》中提出的各项污染防治措施、生态保护措施的前提下，从环保角度考虑，你公司按《报告表》所述内容建设具有环境可行性。</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二、在项目工程设计、建设和环境管理中，你公司必须全过程贯彻清洁生产理念，逐项落实《报告表》中提出的环保要求，严格执行环保“三同时”制度，确保各类污染物稳定达标排放。并须着重做好以下工作：</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施工期：加强管理，合理安排施工现场，建筑材料统一规则堆放，采取定期洒水、防尘网覆盖、限载、封闭运输、使用商品混凝土、优选低噪声设备、控制作业时间等有效措施，减少扬尘、噪声等对周围环境质量的影响；未经批准，不得进行产生噪声污染的夜间作业，边界噪声执行&lt;建筑施工场界环境噪声排放标准&gt;(GB12523-2011)的标准。施工废水经隔油沉淀处理后再利用，不外排。建筑垃圾及时清运。</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营运期：1、本项目运营期废水主要是生活废水和生产废水等，生活废水和生产废水由厂区集水池收集，经无动力污水处理装置处理后回用于站内绿化，所有废水不得外排。严格</w:t>
      </w:r>
      <w:r>
        <w:rPr>
          <w:rFonts w:hint="eastAsia" w:ascii="仿宋" w:hAnsi="仿宋" w:eastAsia="仿宋" w:cs="仿宋"/>
          <w:sz w:val="32"/>
          <w:szCs w:val="32"/>
        </w:rPr>
        <w:t>落实《报告</w:t>
      </w:r>
      <w:r>
        <w:rPr>
          <w:rFonts w:hint="eastAsia" w:ascii="仿宋" w:hAnsi="仿宋" w:eastAsia="仿宋" w:cs="仿宋"/>
          <w:sz w:val="32"/>
          <w:szCs w:val="32"/>
          <w:lang w:eastAsia="zh-CN"/>
        </w:rPr>
        <w:t>表</w:t>
      </w:r>
      <w:r>
        <w:rPr>
          <w:rFonts w:hint="eastAsia" w:ascii="仿宋" w:hAnsi="仿宋" w:eastAsia="仿宋" w:cs="仿宋"/>
          <w:sz w:val="32"/>
          <w:szCs w:val="32"/>
        </w:rPr>
        <w:t>》提出污水处理工艺，</w:t>
      </w:r>
      <w:r>
        <w:rPr>
          <w:rFonts w:hint="eastAsia" w:ascii="仿宋" w:hAnsi="仿宋" w:eastAsia="仿宋" w:cs="仿宋"/>
          <w:sz w:val="32"/>
          <w:szCs w:val="32"/>
          <w:lang w:eastAsia="zh-CN"/>
        </w:rPr>
        <w:t>同时</w:t>
      </w:r>
      <w:r>
        <w:rPr>
          <w:rFonts w:hint="eastAsia" w:ascii="仿宋" w:hAnsi="仿宋" w:eastAsia="仿宋" w:cs="仿宋"/>
          <w:sz w:val="32"/>
          <w:szCs w:val="32"/>
        </w:rPr>
        <w:t>落实报告</w:t>
      </w:r>
      <w:r>
        <w:rPr>
          <w:rFonts w:hint="eastAsia" w:ascii="仿宋" w:hAnsi="仿宋" w:eastAsia="仿宋" w:cs="仿宋"/>
          <w:sz w:val="32"/>
          <w:szCs w:val="32"/>
          <w:lang w:eastAsia="zh-CN"/>
        </w:rPr>
        <w:t>表</w:t>
      </w:r>
      <w:r>
        <w:rPr>
          <w:rFonts w:hint="eastAsia" w:ascii="仿宋" w:hAnsi="仿宋" w:eastAsia="仿宋" w:cs="仿宋"/>
          <w:sz w:val="32"/>
          <w:szCs w:val="32"/>
        </w:rPr>
        <w:t>提出的事故防范和应急预案。</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2、选用低噪声设备、合理布局、减振、隔声和距离衰减等处理，同时必须严格控制生产时段，并减少生产噪声，项目噪声必须满足《工业企业厂界环境噪声排放标准》（GB12348-2008）2类标准要求。</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default" w:ascii="宋体" w:hAnsi="宋体" w:eastAsia="宋体" w:cs="宋体"/>
          <w:i w:val="0"/>
          <w:caps w:val="0"/>
          <w:color w:val="000000"/>
          <w:spacing w:val="0"/>
          <w:sz w:val="24"/>
          <w:szCs w:val="24"/>
          <w:lang w:val="en-US" w:eastAsia="zh-CN"/>
        </w:rPr>
      </w:pPr>
      <w:r>
        <w:rPr>
          <w:rFonts w:hint="eastAsia" w:ascii="仿宋" w:hAnsi="仿宋" w:eastAsia="仿宋" w:cs="仿宋"/>
          <w:sz w:val="32"/>
          <w:szCs w:val="32"/>
          <w:lang w:val="en-US" w:eastAsia="zh-CN"/>
        </w:rPr>
        <w:t>3、落实《报告表》提出的废气防治措施，确保各类工艺废气的处理效率及排气筒高度等达到《报告表》提出的要求，达标排放。项目运营期加油区和加气区产生的非甲烷总烃排放执行《大气污染物综合排放标准》（GB16297-1996）表2中标准要求；油气废气排放执行《加油站大气污染物排放标准》（GB20952-2007）标准要求，所有废气必须达标排放，尽可能减轻废气对周边环境质量的影响。</w:t>
      </w:r>
      <w:r>
        <w:rPr>
          <w:rFonts w:hint="eastAsia" w:ascii="宋体" w:hAnsi="宋体" w:eastAsia="宋体" w:cs="宋体"/>
          <w:i w:val="0"/>
          <w:caps w:val="0"/>
          <w:color w:val="000000"/>
          <w:spacing w:val="0"/>
          <w:sz w:val="24"/>
          <w:szCs w:val="24"/>
          <w:lang w:val="en-US" w:eastAsia="zh-CN"/>
        </w:rPr>
        <w:t xml:space="preserve">                                                                                                                                                                                                                                                                                                                                                                                                                                                                                                                                    </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4、落实各类固体废物的收集、处置和综合利用措施，实现固体废物无害化、减量化、资源化，</w:t>
      </w:r>
      <w:r>
        <w:rPr>
          <w:rFonts w:hint="eastAsia" w:ascii="仿宋" w:hAnsi="仿宋" w:eastAsia="仿宋" w:cs="仿宋"/>
          <w:sz w:val="32"/>
          <w:szCs w:val="32"/>
        </w:rPr>
        <w:t>不得造成二次污染</w:t>
      </w:r>
      <w:r>
        <w:rPr>
          <w:rFonts w:hint="eastAsia" w:ascii="仿宋" w:hAnsi="仿宋" w:eastAsia="仿宋" w:cs="仿宋"/>
          <w:sz w:val="32"/>
          <w:szCs w:val="32"/>
          <w:lang w:val="en-US" w:eastAsia="zh-CN"/>
        </w:rPr>
        <w:t>。项目固废主要为隔油池沉淀物、生活垃圾和含油抹布等。隔油池沉淀物须委托有资质单位安全处置；生活垃圾和含油抹布收集后由环卫部门统一清运。一般工业固废处理、处置执行《一般工业固体废物贮存、处置场污染控制标准》（GB 18599-2001）及修改单（2013年第36号）的相关规定和《危险废物贮存及污染控制标准》（GB18597-2001）及修改单的相关要求，防止产生二次污染。</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default" w:ascii="仿宋" w:hAnsi="仿宋" w:eastAsia="仿宋" w:cs="仿宋"/>
          <w:sz w:val="32"/>
          <w:szCs w:val="32"/>
        </w:rPr>
        <w:t>项目排污口</w:t>
      </w:r>
      <w:r>
        <w:rPr>
          <w:rFonts w:hint="eastAsia" w:ascii="仿宋" w:hAnsi="仿宋" w:eastAsia="仿宋" w:cs="仿宋"/>
          <w:sz w:val="32"/>
          <w:szCs w:val="32"/>
          <w:lang w:eastAsia="zh-CN"/>
        </w:rPr>
        <w:t>需规范化设置</w:t>
      </w:r>
      <w:r>
        <w:rPr>
          <w:rFonts w:hint="default" w:ascii="仿宋" w:hAnsi="仿宋" w:eastAsia="仿宋" w:cs="仿宋"/>
          <w:sz w:val="32"/>
          <w:szCs w:val="32"/>
        </w:rPr>
        <w:t>。</w:t>
      </w:r>
      <w:r>
        <w:rPr>
          <w:rFonts w:hint="eastAsia" w:ascii="仿宋" w:hAnsi="仿宋" w:eastAsia="仿宋" w:cs="仿宋"/>
          <w:sz w:val="32"/>
          <w:szCs w:val="32"/>
        </w:rPr>
        <w:t>按《江苏省排污口设置及规范化整治管理办法》的有关要求，规范化设置各类排污口和标志。按《江苏省污染源自动监控管理暂行办法》（苏环规〔2011〕1号）要求，建设、安装自动监控设备及其配套设施。</w:t>
      </w:r>
      <w:r>
        <w:rPr>
          <w:rFonts w:hint="eastAsia" w:ascii="仿宋" w:hAnsi="仿宋" w:eastAsia="仿宋" w:cs="仿宋"/>
          <w:sz w:val="32"/>
          <w:szCs w:val="32"/>
          <w:lang w:eastAsia="zh-CN"/>
        </w:rPr>
        <w:t>制定并</w:t>
      </w:r>
      <w:r>
        <w:rPr>
          <w:rFonts w:hint="eastAsia" w:ascii="仿宋" w:hAnsi="仿宋" w:eastAsia="仿宋" w:cs="仿宋"/>
          <w:sz w:val="32"/>
          <w:szCs w:val="32"/>
        </w:rPr>
        <w:t>落实</w:t>
      </w:r>
      <w:r>
        <w:rPr>
          <w:rFonts w:hint="eastAsia" w:ascii="仿宋" w:hAnsi="仿宋" w:eastAsia="仿宋" w:cs="仿宋"/>
          <w:sz w:val="32"/>
          <w:szCs w:val="32"/>
          <w:lang w:eastAsia="zh-CN"/>
        </w:rPr>
        <w:t>相应</w:t>
      </w:r>
      <w:r>
        <w:rPr>
          <w:rFonts w:hint="eastAsia" w:ascii="仿宋" w:hAnsi="仿宋" w:eastAsia="仿宋" w:cs="仿宋"/>
          <w:sz w:val="32"/>
          <w:szCs w:val="32"/>
        </w:rPr>
        <w:t>的环境管理及监测计划</w:t>
      </w:r>
      <w:r>
        <w:rPr>
          <w:rFonts w:hint="eastAsia" w:ascii="仿宋" w:hAnsi="仿宋" w:eastAsia="仿宋" w:cs="仿宋"/>
          <w:sz w:val="32"/>
          <w:szCs w:val="32"/>
          <w:lang w:eastAsia="zh-CN"/>
        </w:rPr>
        <w:t>。你公司应在试生产之前取得排污许可。</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default" w:ascii="仿宋" w:hAnsi="仿宋" w:eastAsia="仿宋" w:cs="仿宋"/>
          <w:sz w:val="32"/>
          <w:szCs w:val="32"/>
          <w:lang w:val="en-US" w:eastAsia="zh-CN"/>
        </w:rPr>
        <w:t>对环境治理设施开展安全风险识别管控，健全内部污染防治设施稳定运行和管理责任制度，严格依据标准规范建设环境治理设施，确保环境治理设施安全、稳定、有效运行。</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三</w:t>
      </w:r>
      <w:r>
        <w:rPr>
          <w:rFonts w:hint="eastAsia" w:ascii="仿宋" w:hAnsi="仿宋" w:eastAsia="仿宋" w:cs="仿宋"/>
          <w:sz w:val="32"/>
          <w:szCs w:val="32"/>
        </w:rPr>
        <w:t>、</w:t>
      </w:r>
      <w:r>
        <w:rPr>
          <w:rFonts w:hint="eastAsia" w:ascii="仿宋" w:hAnsi="仿宋" w:eastAsia="仿宋" w:cs="仿宋"/>
          <w:sz w:val="32"/>
          <w:szCs w:val="32"/>
          <w:lang w:eastAsia="zh-CN"/>
        </w:rPr>
        <w:t>本项目须对环保设施进行安全论证，并报安全管理部门备案。</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、严格执行环保“三同时”制度，确保各类污染物稳定达标排放。</w:t>
      </w:r>
      <w:r>
        <w:rPr>
          <w:rFonts w:hint="eastAsia" w:ascii="仿宋" w:hAnsi="仿宋" w:eastAsia="仿宋" w:cs="仿宋"/>
          <w:sz w:val="32"/>
          <w:szCs w:val="32"/>
          <w:lang w:eastAsia="zh-CN"/>
        </w:rPr>
        <w:t>项目建成后，按相关规定</w:t>
      </w:r>
      <w:r>
        <w:rPr>
          <w:rFonts w:hint="eastAsia" w:ascii="仿宋" w:hAnsi="仿宋" w:eastAsia="仿宋" w:cs="仿宋"/>
          <w:sz w:val="32"/>
          <w:szCs w:val="32"/>
        </w:rPr>
        <w:t>，</w:t>
      </w:r>
      <w:r>
        <w:rPr>
          <w:rFonts w:hint="eastAsia" w:ascii="仿宋" w:hAnsi="仿宋" w:eastAsia="仿宋" w:cs="仿宋"/>
          <w:sz w:val="32"/>
          <w:szCs w:val="32"/>
          <w:lang w:eastAsia="zh-CN"/>
        </w:rPr>
        <w:t>须对配套建设的环保设施进行竣工验收，经验收合格后，方可投入正常运营。</w:t>
      </w:r>
      <w:r>
        <w:rPr>
          <w:rFonts w:hint="eastAsia" w:ascii="仿宋" w:hAnsi="仿宋" w:eastAsia="仿宋" w:cs="仿宋"/>
          <w:sz w:val="32"/>
          <w:szCs w:val="32"/>
        </w:rPr>
        <w:t>违反规定要求的，承担相应环保法律责任。</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、污染治理设施需按有关规范进行日常维护及定期清洗清理，以保证其净化效果，不得无故停运。</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napToGrid w:val="0"/>
          <w:kern w:val="2"/>
          <w:sz w:val="32"/>
          <w:szCs w:val="32"/>
          <w:lang w:val="en-US" w:eastAsia="zh-CN" w:bidi="ar-SA"/>
        </w:rPr>
      </w:pPr>
      <w:r>
        <w:rPr>
          <w:rFonts w:hint="eastAsia" w:ascii="仿宋" w:hAnsi="仿宋" w:eastAsia="仿宋" w:cs="仿宋"/>
          <w:sz w:val="32"/>
          <w:szCs w:val="32"/>
          <w:lang w:eastAsia="zh-CN"/>
        </w:rPr>
        <w:t>六</w:t>
      </w:r>
      <w:r>
        <w:rPr>
          <w:rFonts w:hint="eastAsia" w:ascii="仿宋" w:hAnsi="仿宋" w:eastAsia="仿宋" w:cs="仿宋"/>
          <w:sz w:val="32"/>
          <w:szCs w:val="32"/>
        </w:rPr>
        <w:t>、若项目的性质、规模、地址、使用的生产工艺或防治污染、防止生态破坏的措施发生重大变动的，应当重新报批项目的环境影响评价文件。项目自批准之日起超过五年方开工建设的，环评文件须报我局重新审核。</w:t>
      </w:r>
    </w:p>
    <w:p>
      <w:pPr>
        <w:pStyle w:val="14"/>
        <w:keepNext w:val="0"/>
        <w:keepLines w:val="0"/>
        <w:pageBreakBefore w:val="0"/>
        <w:widowControl w:val="0"/>
        <w:kinsoku/>
        <w:wordWrap/>
        <w:overflowPunct/>
        <w:topLinePunct w:val="0"/>
        <w:autoSpaceDE/>
        <w:autoSpaceDN/>
        <w:bidi w:val="0"/>
        <w:adjustRightInd/>
        <w:snapToGrid w:val="0"/>
        <w:spacing w:after="0" w:line="560" w:lineRule="exact"/>
        <w:ind w:left="0" w:leftChars="0" w:right="0" w:rightChars="0" w:firstLine="640" w:firstLineChars="200"/>
        <w:jc w:val="both"/>
        <w:textAlignment w:val="auto"/>
        <w:outlineLvl w:val="9"/>
        <w:rPr>
          <w:rFonts w:hint="eastAsia" w:ascii="仿宋" w:hAnsi="仿宋" w:eastAsia="仿宋" w:cs="仿宋"/>
          <w:snapToGrid w:val="0"/>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snapToGrid w:val="0"/>
        <w:spacing w:after="0" w:line="560" w:lineRule="exact"/>
        <w:ind w:left="0" w:leftChars="0" w:right="0" w:rightChars="0" w:firstLine="640" w:firstLineChars="200"/>
        <w:jc w:val="both"/>
        <w:textAlignment w:val="auto"/>
        <w:outlineLvl w:val="9"/>
        <w:rPr>
          <w:rFonts w:hint="eastAsia" w:ascii="仿宋" w:hAnsi="仿宋" w:eastAsia="仿宋" w:cs="仿宋"/>
          <w:snapToGrid w:val="0"/>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snapToGrid w:val="0"/>
        <w:spacing w:after="0" w:line="560" w:lineRule="exact"/>
        <w:ind w:left="0" w:leftChars="0"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Times New Roman"/>
          <w:b w:val="0"/>
          <w:bCs w:val="0"/>
          <w:sz w:val="32"/>
          <w:szCs w:val="32"/>
          <w:lang w:val="en-US" w:eastAsia="zh-CN"/>
        </w:rPr>
        <w:t xml:space="preserve">                           </w:t>
      </w:r>
      <w:r>
        <w:rPr>
          <w:rFonts w:hint="eastAsia" w:ascii="仿宋" w:hAnsi="仿宋" w:eastAsia="仿宋" w:cs="仿宋"/>
          <w:b w:val="0"/>
          <w:bCs w:val="0"/>
          <w:snapToGrid w:val="0"/>
          <w:kern w:val="2"/>
          <w:sz w:val="32"/>
          <w:szCs w:val="32"/>
          <w:lang w:val="en-US" w:eastAsia="zh-CN" w:bidi="ar-SA"/>
        </w:rPr>
        <w:t xml:space="preserve"> </w:t>
      </w:r>
      <w:r>
        <w:rPr>
          <w:rFonts w:hint="eastAsia" w:ascii="仿宋" w:hAnsi="仿宋" w:eastAsia="仿宋" w:cs="仿宋"/>
          <w:sz w:val="32"/>
          <w:szCs w:val="32"/>
          <w:lang w:val="en-US" w:eastAsia="zh-CN"/>
        </w:rPr>
        <w:t xml:space="preserve">连云港市生态环境局 </w:t>
      </w:r>
    </w:p>
    <w:p>
      <w:pPr>
        <w:pStyle w:val="14"/>
        <w:keepNext w:val="0"/>
        <w:keepLines w:val="0"/>
        <w:pageBreakBefore w:val="0"/>
        <w:widowControl w:val="0"/>
        <w:kinsoku/>
        <w:wordWrap w:val="0"/>
        <w:overflowPunct/>
        <w:topLinePunct w:val="0"/>
        <w:autoSpaceDE/>
        <w:autoSpaceDN/>
        <w:bidi w:val="0"/>
        <w:adjustRightInd/>
        <w:snapToGrid w:val="0"/>
        <w:spacing w:after="0" w:line="560" w:lineRule="exact"/>
        <w:ind w:left="0" w:leftChars="0" w:right="0" w:rightChars="0" w:firstLine="640" w:firstLineChars="200"/>
        <w:jc w:val="right"/>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2020年6月19日   </w:t>
      </w:r>
    </w:p>
    <w:p>
      <w:pPr>
        <w:pStyle w:val="2"/>
        <w:ind w:left="0" w:leftChars="0" w:firstLine="0" w:firstLineChars="0"/>
        <w:rPr>
          <w:rFonts w:hint="eastAsia" w:ascii="仿宋" w:hAnsi="仿宋" w:eastAsia="仿宋" w:cs="Times New Roman"/>
          <w:b w:val="0"/>
          <w:bCs w:val="0"/>
          <w:sz w:val="32"/>
          <w:szCs w:val="32"/>
          <w:lang w:val="en-US" w:eastAsia="zh-CN"/>
        </w:rPr>
      </w:pPr>
    </w:p>
    <w:p>
      <w:pPr>
        <w:rPr>
          <w:rFonts w:hint="eastAsia" w:ascii="仿宋" w:hAnsi="仿宋" w:eastAsia="仿宋" w:cs="Times New Roman"/>
          <w:b w:val="0"/>
          <w:bCs w:val="0"/>
          <w:sz w:val="32"/>
          <w:szCs w:val="32"/>
          <w:lang w:val="en-US" w:eastAsia="zh-CN"/>
        </w:rPr>
      </w:pPr>
    </w:p>
    <w:p>
      <w:pPr>
        <w:pStyle w:val="2"/>
        <w:rPr>
          <w:rFonts w:hint="eastAsia" w:ascii="仿宋" w:hAnsi="仿宋" w:eastAsia="仿宋" w:cs="Times New Roman"/>
          <w:b w:val="0"/>
          <w:bCs w:val="0"/>
          <w:sz w:val="32"/>
          <w:szCs w:val="32"/>
          <w:lang w:val="en-US" w:eastAsia="zh-CN"/>
        </w:rPr>
      </w:pPr>
    </w:p>
    <w:p>
      <w:pPr>
        <w:rPr>
          <w:rFonts w:hint="eastAsia" w:ascii="仿宋" w:hAnsi="仿宋" w:eastAsia="仿宋" w:cs="Times New Roman"/>
          <w:b w:val="0"/>
          <w:bCs w:val="0"/>
          <w:sz w:val="32"/>
          <w:szCs w:val="32"/>
          <w:lang w:val="en-US" w:eastAsia="zh-CN"/>
        </w:rPr>
      </w:pPr>
    </w:p>
    <w:p>
      <w:pPr>
        <w:pStyle w:val="2"/>
        <w:rPr>
          <w:rFonts w:hint="eastAsia" w:ascii="仿宋" w:hAnsi="仿宋" w:eastAsia="仿宋" w:cs="Times New Roman"/>
          <w:b w:val="0"/>
          <w:bCs w:val="0"/>
          <w:sz w:val="32"/>
          <w:szCs w:val="32"/>
          <w:lang w:val="en-US" w:eastAsia="zh-CN"/>
        </w:rPr>
      </w:pPr>
    </w:p>
    <w:p>
      <w:pPr>
        <w:rPr>
          <w:rFonts w:hint="eastAsia" w:ascii="仿宋" w:hAnsi="仿宋" w:eastAsia="仿宋" w:cs="Times New Roman"/>
          <w:b w:val="0"/>
          <w:bCs w:val="0"/>
          <w:sz w:val="32"/>
          <w:szCs w:val="32"/>
          <w:lang w:val="en-US" w:eastAsia="zh-CN"/>
        </w:rPr>
      </w:pPr>
    </w:p>
    <w:p>
      <w:pPr>
        <w:pStyle w:val="2"/>
        <w:rPr>
          <w:rFonts w:hint="eastAsia" w:ascii="仿宋" w:hAnsi="仿宋" w:eastAsia="仿宋" w:cs="Times New Roman"/>
          <w:b w:val="0"/>
          <w:bCs w:val="0"/>
          <w:sz w:val="32"/>
          <w:szCs w:val="32"/>
          <w:lang w:val="en-US" w:eastAsia="zh-CN"/>
        </w:rPr>
      </w:pPr>
    </w:p>
    <w:p>
      <w:pPr>
        <w:rPr>
          <w:rFonts w:hint="eastAsia" w:ascii="仿宋" w:hAnsi="仿宋" w:eastAsia="仿宋" w:cs="Times New Roman"/>
          <w:b w:val="0"/>
          <w:bCs w:val="0"/>
          <w:sz w:val="32"/>
          <w:szCs w:val="32"/>
          <w:lang w:val="en-US" w:eastAsia="zh-CN"/>
        </w:rPr>
      </w:pPr>
    </w:p>
    <w:p>
      <w:pPr>
        <w:rPr>
          <w:rFonts w:hint="eastAsia"/>
          <w:lang w:val="en-US" w:eastAsia="zh-CN"/>
        </w:rPr>
      </w:pPr>
    </w:p>
    <w:p>
      <w:pPr>
        <w:pStyle w:val="2"/>
        <w:pageBreakBefore w:val="0"/>
        <w:kinsoku/>
        <w:wordWrap/>
        <w:overflowPunct/>
        <w:topLinePunct w:val="0"/>
        <w:autoSpaceDE/>
        <w:autoSpaceDN/>
        <w:bidi w:val="0"/>
        <w:snapToGrid w:val="0"/>
        <w:spacing w:line="560" w:lineRule="exact"/>
        <w:ind w:left="0" w:leftChars="0" w:firstLine="0" w:firstLineChars="0"/>
        <w:textAlignment w:val="auto"/>
        <w:rPr>
          <w:rFonts w:hint="eastAsia" w:ascii="仿宋" w:hAnsi="仿宋" w:eastAsia="仿宋" w:cs="Times New Roman"/>
          <w:b w:val="0"/>
          <w:bCs w:val="0"/>
          <w:sz w:val="32"/>
          <w:szCs w:val="32"/>
          <w:lang w:val="en-US" w:eastAsia="zh-CN"/>
        </w:rPr>
      </w:pPr>
    </w:p>
    <w:p>
      <w:pPr>
        <w:pStyle w:val="14"/>
        <w:keepNext w:val="0"/>
        <w:keepLines w:val="0"/>
        <w:pageBreakBefore w:val="0"/>
        <w:widowControl w:val="0"/>
        <w:kinsoku/>
        <w:wordWrap/>
        <w:overflowPunct/>
        <w:topLinePunct w:val="0"/>
        <w:autoSpaceDE/>
        <w:autoSpaceDN/>
        <w:bidi w:val="0"/>
        <w:adjustRightInd/>
        <w:snapToGrid w:val="0"/>
        <w:spacing w:after="0" w:line="560" w:lineRule="exact"/>
        <w:ind w:right="0" w:rightChars="0"/>
        <w:jc w:val="both"/>
        <w:textAlignment w:val="auto"/>
        <w:outlineLvl w:val="9"/>
        <w:rPr>
          <w:rFonts w:hint="eastAsia" w:eastAsia="仿宋"/>
          <w:lang w:val="en-US" w:eastAsia="zh-CN"/>
        </w:rPr>
      </w:pPr>
      <w:r>
        <w:rPr>
          <w:rFonts w:hint="eastAsia" w:ascii="仿宋" w:hAnsi="仿宋" w:eastAsia="仿宋" w:cs="仿宋"/>
          <w:sz w:val="32"/>
          <w:szCs w:val="32"/>
        </w:rPr>
        <w:t>抄送：</w:t>
      </w:r>
      <w:r>
        <w:rPr>
          <w:rFonts w:hint="eastAsia" w:ascii="仿宋" w:hAnsi="仿宋" w:eastAsia="仿宋" w:cs="仿宋"/>
          <w:sz w:val="32"/>
          <w:szCs w:val="32"/>
          <w:lang w:eastAsia="zh-CN"/>
        </w:rPr>
        <w:t>连云港市灌南</w:t>
      </w:r>
      <w:r>
        <w:rPr>
          <w:rFonts w:hint="eastAsia" w:ascii="仿宋" w:hAnsi="仿宋" w:eastAsia="仿宋" w:cs="仿宋"/>
          <w:sz w:val="32"/>
          <w:szCs w:val="32"/>
        </w:rPr>
        <w:t>生态环境局，</w:t>
      </w:r>
      <w:r>
        <w:rPr>
          <w:rFonts w:hint="eastAsia" w:ascii="仿宋" w:hAnsi="仿宋" w:eastAsia="仿宋" w:cs="仿宋"/>
          <w:sz w:val="32"/>
          <w:szCs w:val="32"/>
          <w:lang w:val="en-US" w:eastAsia="zh-CN"/>
        </w:rPr>
        <w:t>江苏金路源能源服务有限责任公司</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连云港龙展环保科技有限公司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F4740"/>
    <w:rsid w:val="00363644"/>
    <w:rsid w:val="00524238"/>
    <w:rsid w:val="00A46742"/>
    <w:rsid w:val="00E30277"/>
    <w:rsid w:val="013F0CD6"/>
    <w:rsid w:val="01466A8A"/>
    <w:rsid w:val="018A233D"/>
    <w:rsid w:val="01A968E7"/>
    <w:rsid w:val="01AF2262"/>
    <w:rsid w:val="01AF7CB8"/>
    <w:rsid w:val="02344AEC"/>
    <w:rsid w:val="028F2681"/>
    <w:rsid w:val="02DD3F24"/>
    <w:rsid w:val="035F4A16"/>
    <w:rsid w:val="03667738"/>
    <w:rsid w:val="03732DDB"/>
    <w:rsid w:val="03825526"/>
    <w:rsid w:val="03851164"/>
    <w:rsid w:val="03F95BC6"/>
    <w:rsid w:val="0473245D"/>
    <w:rsid w:val="049C79E9"/>
    <w:rsid w:val="053F2FB1"/>
    <w:rsid w:val="055943B6"/>
    <w:rsid w:val="055B71FC"/>
    <w:rsid w:val="06A87B94"/>
    <w:rsid w:val="07363495"/>
    <w:rsid w:val="073C12EE"/>
    <w:rsid w:val="079121D0"/>
    <w:rsid w:val="07BA1EDD"/>
    <w:rsid w:val="08045298"/>
    <w:rsid w:val="081A4CDE"/>
    <w:rsid w:val="08321348"/>
    <w:rsid w:val="0A860529"/>
    <w:rsid w:val="0AB90EF3"/>
    <w:rsid w:val="0B415A95"/>
    <w:rsid w:val="0BB2389B"/>
    <w:rsid w:val="0C9250D3"/>
    <w:rsid w:val="0CED5FCA"/>
    <w:rsid w:val="0E5A77E0"/>
    <w:rsid w:val="0EAE2D68"/>
    <w:rsid w:val="0EBB6FB3"/>
    <w:rsid w:val="11457F12"/>
    <w:rsid w:val="1208657B"/>
    <w:rsid w:val="13322A21"/>
    <w:rsid w:val="136503FE"/>
    <w:rsid w:val="144B381B"/>
    <w:rsid w:val="1456024C"/>
    <w:rsid w:val="14BF70DA"/>
    <w:rsid w:val="161A2DA0"/>
    <w:rsid w:val="167B3494"/>
    <w:rsid w:val="17B74569"/>
    <w:rsid w:val="187F6390"/>
    <w:rsid w:val="18843076"/>
    <w:rsid w:val="18F04CFF"/>
    <w:rsid w:val="1A7F1299"/>
    <w:rsid w:val="1B4A1DA3"/>
    <w:rsid w:val="1C241F47"/>
    <w:rsid w:val="1C39358E"/>
    <w:rsid w:val="1C9622D7"/>
    <w:rsid w:val="1CF1400B"/>
    <w:rsid w:val="1E3B31C0"/>
    <w:rsid w:val="1F4F4740"/>
    <w:rsid w:val="20D342FC"/>
    <w:rsid w:val="2134424C"/>
    <w:rsid w:val="214D47B7"/>
    <w:rsid w:val="22832A52"/>
    <w:rsid w:val="23611608"/>
    <w:rsid w:val="24741645"/>
    <w:rsid w:val="25430E6B"/>
    <w:rsid w:val="25535177"/>
    <w:rsid w:val="25D6404D"/>
    <w:rsid w:val="27347B3D"/>
    <w:rsid w:val="276B5AE7"/>
    <w:rsid w:val="27F02AA7"/>
    <w:rsid w:val="27F15C47"/>
    <w:rsid w:val="28485269"/>
    <w:rsid w:val="289E7DF3"/>
    <w:rsid w:val="293A24E4"/>
    <w:rsid w:val="2A0C3177"/>
    <w:rsid w:val="2A277F08"/>
    <w:rsid w:val="2A896348"/>
    <w:rsid w:val="2AAA33DB"/>
    <w:rsid w:val="2AF15D0F"/>
    <w:rsid w:val="2B266F1F"/>
    <w:rsid w:val="2B272C3C"/>
    <w:rsid w:val="2B6F5EC6"/>
    <w:rsid w:val="2BCB3118"/>
    <w:rsid w:val="2BFD7D16"/>
    <w:rsid w:val="2C137051"/>
    <w:rsid w:val="2C1939AE"/>
    <w:rsid w:val="2C1C1193"/>
    <w:rsid w:val="2C305E7D"/>
    <w:rsid w:val="2D80162B"/>
    <w:rsid w:val="2E004FD8"/>
    <w:rsid w:val="2E540CA9"/>
    <w:rsid w:val="2E7D6A05"/>
    <w:rsid w:val="2F6E35DB"/>
    <w:rsid w:val="30B86315"/>
    <w:rsid w:val="30DC23AC"/>
    <w:rsid w:val="31A5444E"/>
    <w:rsid w:val="329B23C0"/>
    <w:rsid w:val="355D70DE"/>
    <w:rsid w:val="35CE4888"/>
    <w:rsid w:val="35CF17B6"/>
    <w:rsid w:val="36153716"/>
    <w:rsid w:val="361E7FF0"/>
    <w:rsid w:val="36AF4936"/>
    <w:rsid w:val="37387DAA"/>
    <w:rsid w:val="375026BD"/>
    <w:rsid w:val="37F77F3A"/>
    <w:rsid w:val="38035724"/>
    <w:rsid w:val="39204E4C"/>
    <w:rsid w:val="3921028B"/>
    <w:rsid w:val="397E22FF"/>
    <w:rsid w:val="3B183964"/>
    <w:rsid w:val="3BBB462C"/>
    <w:rsid w:val="3DD20B15"/>
    <w:rsid w:val="3E7958EA"/>
    <w:rsid w:val="3F223A94"/>
    <w:rsid w:val="3FA72CC3"/>
    <w:rsid w:val="3FBA1E1A"/>
    <w:rsid w:val="403D7C20"/>
    <w:rsid w:val="40665FF8"/>
    <w:rsid w:val="41694325"/>
    <w:rsid w:val="424726BD"/>
    <w:rsid w:val="43421034"/>
    <w:rsid w:val="43506C3C"/>
    <w:rsid w:val="435C24A3"/>
    <w:rsid w:val="4391693F"/>
    <w:rsid w:val="43D80256"/>
    <w:rsid w:val="43F95F18"/>
    <w:rsid w:val="450D05FF"/>
    <w:rsid w:val="456F1EF2"/>
    <w:rsid w:val="463E5750"/>
    <w:rsid w:val="466B3631"/>
    <w:rsid w:val="479D4BDC"/>
    <w:rsid w:val="48A46167"/>
    <w:rsid w:val="49035926"/>
    <w:rsid w:val="4AAF1EE0"/>
    <w:rsid w:val="4B296C1A"/>
    <w:rsid w:val="4B474DA2"/>
    <w:rsid w:val="4F783361"/>
    <w:rsid w:val="4F7923BB"/>
    <w:rsid w:val="4FA45538"/>
    <w:rsid w:val="4FBC093C"/>
    <w:rsid w:val="4FD23CEA"/>
    <w:rsid w:val="50F8414E"/>
    <w:rsid w:val="51573B1A"/>
    <w:rsid w:val="542C288D"/>
    <w:rsid w:val="54FD1CBC"/>
    <w:rsid w:val="555A15F1"/>
    <w:rsid w:val="57DA0F3E"/>
    <w:rsid w:val="57ED6BED"/>
    <w:rsid w:val="58047285"/>
    <w:rsid w:val="59073EC2"/>
    <w:rsid w:val="5A061D04"/>
    <w:rsid w:val="5A576407"/>
    <w:rsid w:val="5A5D5B81"/>
    <w:rsid w:val="5A623C57"/>
    <w:rsid w:val="5B114526"/>
    <w:rsid w:val="5B784896"/>
    <w:rsid w:val="5BA46D80"/>
    <w:rsid w:val="5D2318D6"/>
    <w:rsid w:val="5E4A6155"/>
    <w:rsid w:val="5E5A03C8"/>
    <w:rsid w:val="5EC562B8"/>
    <w:rsid w:val="5F465EA7"/>
    <w:rsid w:val="5FEE1DBB"/>
    <w:rsid w:val="606C610F"/>
    <w:rsid w:val="60A76F1E"/>
    <w:rsid w:val="6148375A"/>
    <w:rsid w:val="61964207"/>
    <w:rsid w:val="632A5C41"/>
    <w:rsid w:val="63450CE0"/>
    <w:rsid w:val="63625748"/>
    <w:rsid w:val="63695719"/>
    <w:rsid w:val="641E0FD2"/>
    <w:rsid w:val="645C54B5"/>
    <w:rsid w:val="6498685C"/>
    <w:rsid w:val="652D4717"/>
    <w:rsid w:val="669A436D"/>
    <w:rsid w:val="66EE2771"/>
    <w:rsid w:val="673B6F5C"/>
    <w:rsid w:val="674A6D69"/>
    <w:rsid w:val="67D66480"/>
    <w:rsid w:val="682E0824"/>
    <w:rsid w:val="688336A3"/>
    <w:rsid w:val="694C3442"/>
    <w:rsid w:val="6AD01F52"/>
    <w:rsid w:val="6B1A7362"/>
    <w:rsid w:val="6B442A05"/>
    <w:rsid w:val="6B622380"/>
    <w:rsid w:val="6B845682"/>
    <w:rsid w:val="6BB16976"/>
    <w:rsid w:val="6C3A45BB"/>
    <w:rsid w:val="6C852197"/>
    <w:rsid w:val="6C92715C"/>
    <w:rsid w:val="6D682BE6"/>
    <w:rsid w:val="6DC03D90"/>
    <w:rsid w:val="6E325558"/>
    <w:rsid w:val="6E555E47"/>
    <w:rsid w:val="6F5C1F9F"/>
    <w:rsid w:val="6F99711D"/>
    <w:rsid w:val="6FE62526"/>
    <w:rsid w:val="6FEA3D56"/>
    <w:rsid w:val="702227FA"/>
    <w:rsid w:val="70880E55"/>
    <w:rsid w:val="70992AD8"/>
    <w:rsid w:val="71473150"/>
    <w:rsid w:val="72031FBB"/>
    <w:rsid w:val="72E2458E"/>
    <w:rsid w:val="73D303BB"/>
    <w:rsid w:val="73DD69D1"/>
    <w:rsid w:val="743D644A"/>
    <w:rsid w:val="749C020A"/>
    <w:rsid w:val="76112F9A"/>
    <w:rsid w:val="76DF44C9"/>
    <w:rsid w:val="77C812D1"/>
    <w:rsid w:val="781E1591"/>
    <w:rsid w:val="785B6DE7"/>
    <w:rsid w:val="78C64ABF"/>
    <w:rsid w:val="79946CAB"/>
    <w:rsid w:val="79A92B94"/>
    <w:rsid w:val="7A322657"/>
    <w:rsid w:val="7A520BCF"/>
    <w:rsid w:val="7A98211B"/>
    <w:rsid w:val="7AA14BB0"/>
    <w:rsid w:val="7AD40065"/>
    <w:rsid w:val="7B2D6689"/>
    <w:rsid w:val="7C672A1A"/>
    <w:rsid w:val="7CEC30CA"/>
    <w:rsid w:val="7D053444"/>
    <w:rsid w:val="7D4A3D26"/>
    <w:rsid w:val="7D712FE0"/>
    <w:rsid w:val="7DBA7591"/>
    <w:rsid w:val="7DFE03D1"/>
    <w:rsid w:val="7E0A6D4F"/>
    <w:rsid w:val="7EF15C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kern w:val="0"/>
      <w:sz w:val="22"/>
      <w:szCs w:val="22"/>
      <w:lang w:val="en-US" w:eastAsia="zh-CN" w:bidi="ar-SA"/>
    </w:rPr>
  </w:style>
  <w:style w:type="paragraph" w:styleId="3">
    <w:name w:val="heading 3"/>
    <w:basedOn w:val="1"/>
    <w:next w:val="1"/>
    <w:qFormat/>
    <w:uiPriority w:val="0"/>
    <w:pPr>
      <w:keepNext/>
      <w:keepLines/>
      <w:spacing w:before="260" w:after="260" w:line="360" w:lineRule="auto"/>
      <w:outlineLvl w:val="2"/>
    </w:pPr>
    <w:rPr>
      <w:rFonts w:eastAsia="黑体"/>
      <w:bCs/>
      <w:sz w:val="28"/>
      <w:szCs w:val="32"/>
    </w:rPr>
  </w:style>
  <w:style w:type="paragraph" w:styleId="4">
    <w:name w:val="heading 4"/>
    <w:basedOn w:val="1"/>
    <w:next w:val="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39"/>
    <w:pPr>
      <w:ind w:left="210"/>
      <w:jc w:val="left"/>
    </w:pPr>
    <w:rPr>
      <w:smallCaps/>
      <w:sz w:val="20"/>
      <w:szCs w:val="20"/>
    </w:rPr>
  </w:style>
  <w:style w:type="paragraph" w:styleId="5">
    <w:name w:val="Plain Text"/>
    <w:basedOn w:val="1"/>
    <w:qFormat/>
    <w:uiPriority w:val="0"/>
    <w:rPr>
      <w:rFonts w:ascii="宋体" w:hAnsi="Courier New" w:eastAsia="宋体" w:cs="Courier New"/>
      <w:sz w:val="21"/>
      <w:szCs w:val="21"/>
    </w:rPr>
  </w:style>
  <w:style w:type="paragraph" w:styleId="6">
    <w:name w:val="Body Text Indent 2"/>
    <w:basedOn w:val="1"/>
    <w:qFormat/>
    <w:uiPriority w:val="0"/>
    <w:pPr>
      <w:spacing w:line="600" w:lineRule="exact"/>
      <w:ind w:firstLine="645"/>
    </w:pPr>
    <w:rPr>
      <w:rFonts w:ascii="仿宋_GB2312" w:eastAsia="仿宋_GB2312"/>
      <w:sz w:val="28"/>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index heading"/>
    <w:basedOn w:val="1"/>
    <w:next w:val="10"/>
    <w:semiHidden/>
    <w:qFormat/>
    <w:uiPriority w:val="0"/>
    <w:rPr>
      <w:rFonts w:ascii="Arial" w:hAnsi="Arial"/>
      <w:b/>
      <w:bCs/>
    </w:rPr>
  </w:style>
  <w:style w:type="paragraph" w:styleId="10">
    <w:name w:val="index 1"/>
    <w:basedOn w:val="1"/>
    <w:next w:val="1"/>
    <w:semiHidden/>
    <w:qFormat/>
    <w:uiPriority w:val="0"/>
  </w:style>
  <w:style w:type="character" w:styleId="13">
    <w:name w:val="page number"/>
    <w:basedOn w:val="12"/>
    <w:qFormat/>
    <w:uiPriority w:val="0"/>
  </w:style>
  <w:style w:type="paragraph" w:customStyle="1" w:styleId="14">
    <w:name w:val="表格填充1"/>
    <w:basedOn w:val="5"/>
    <w:qFormat/>
    <w:uiPriority w:val="0"/>
    <w:pPr>
      <w:widowControl w:val="0"/>
      <w:adjustRightInd/>
      <w:spacing w:after="0"/>
      <w:jc w:val="both"/>
    </w:pPr>
    <w:rPr>
      <w:rFonts w:ascii="Times New Roman" w:hAnsi="Times New Roman" w:cs="Times New Roman"/>
      <w:snapToGrid w:val="0"/>
      <w:kern w:val="2"/>
      <w:sz w:val="28"/>
      <w:szCs w:val="20"/>
    </w:rPr>
  </w:style>
  <w:style w:type="paragraph" w:customStyle="1" w:styleId="15">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6">
    <w:name w:val="标号正文"/>
    <w:basedOn w:val="1"/>
    <w:next w:val="1"/>
    <w:qFormat/>
    <w:uiPriority w:val="0"/>
    <w:pPr>
      <w:tabs>
        <w:tab w:val="left" w:pos="1540"/>
      </w:tabs>
      <w:overflowPunct w:val="0"/>
      <w:snapToGrid w:val="0"/>
      <w:spacing w:line="360" w:lineRule="auto"/>
      <w:ind w:firstLine="1040"/>
      <w:jc w:val="left"/>
    </w:pPr>
    <w:rPr>
      <w:rFonts w:ascii="Arial" w:hAnsi="Arial"/>
      <w:sz w:val="24"/>
      <w:szCs w:val="20"/>
    </w:rPr>
  </w:style>
  <w:style w:type="paragraph" w:customStyle="1" w:styleId="17">
    <w:name w:val="paragraph text-align-type-justify pap-line-28pt pap-line-rule-exact pap-spacing-before-0pt pap-spacing-after-0pt pap-firstline-indent-2em"/>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2018-04-24T02:22:00Z</dcterms:created>
  <dc:creator>Administrator</dc:creator>
  <cp:lastModifiedBy>吴小妞</cp:lastModifiedBy>
  <cp:lastPrinted>2020-04-17T07:10:00Z</cp:lastPrinted>
  <dcterms:modified xsi:type="dcterms:W3CDTF">2020-06-19T08:12:39Z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