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kinsoku/>
        <w:wordWrap/>
        <w:overflowPunct/>
        <w:topLinePunct w:val="0"/>
        <w:autoSpaceDE/>
        <w:autoSpaceDN/>
        <w:bidi w:val="0"/>
        <w:adjustRightInd w:val="0"/>
        <w:snapToGrid w:val="0"/>
        <w:spacing w:before="0" w:after="0" w:line="460" w:lineRule="exact"/>
        <w:ind w:left="0" w:leftChars="0" w:right="0" w:rightChars="0" w:firstLine="0" w:firstLineChars="0"/>
        <w:textAlignment w:val="auto"/>
      </w:pPr>
    </w:p>
    <w:p>
      <w:pPr>
        <w:pageBreakBefore w:val="0"/>
        <w:widowControl/>
        <w:kinsoku/>
        <w:wordWrap/>
        <w:overflowPunct/>
        <w:topLinePunct w:val="0"/>
        <w:autoSpaceDE/>
        <w:autoSpaceDN/>
        <w:bidi w:val="0"/>
        <w:adjustRightInd w:val="0"/>
        <w:snapToGrid w:val="0"/>
        <w:spacing w:line="460" w:lineRule="exact"/>
        <w:textAlignment w:val="auto"/>
      </w:pPr>
    </w:p>
    <w:p>
      <w:pPr>
        <w:spacing w:line="500" w:lineRule="exact"/>
        <w:ind w:firstLine="5040" w:firstLineChars="1800"/>
        <w:jc w:val="both"/>
        <w:rPr>
          <w:rFonts w:ascii="仿宋" w:hAnsi="仿宋" w:eastAsia="仿宋" w:cs="Times New Roman"/>
          <w:sz w:val="32"/>
          <w:szCs w:val="32"/>
        </w:rPr>
      </w:pPr>
      <w:r>
        <w:rPr>
          <w:rFonts w:hint="eastAsia" w:ascii="仿宋_GB2312" w:hAnsi="仿宋_GB2312" w:eastAsia="仿宋_GB2312" w:cs="仿宋_GB2312"/>
          <w:b w:val="0"/>
          <w:bCs/>
          <w:sz w:val="28"/>
          <w:szCs w:val="28"/>
          <w:lang w:eastAsia="zh-CN"/>
        </w:rPr>
        <w:t>连环表复</w:t>
      </w:r>
      <w:r>
        <w:rPr>
          <w:rFonts w:hint="eastAsia"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w:t>
      </w:r>
    </w:p>
    <w:p>
      <w:pPr>
        <w:spacing w:line="500" w:lineRule="exact"/>
        <w:jc w:val="center"/>
        <w:rPr>
          <w:rFonts w:hint="eastAsia" w:asciiTheme="majorEastAsia" w:hAnsiTheme="majorEastAsia" w:eastAsiaTheme="majorEastAsia"/>
          <w:b/>
          <w:bCs w:val="0"/>
          <w:w w:val="100"/>
          <w:sz w:val="44"/>
          <w:szCs w:val="44"/>
        </w:rPr>
      </w:pPr>
      <w:r>
        <w:rPr>
          <w:rFonts w:hint="eastAsia" w:asciiTheme="majorEastAsia" w:hAnsiTheme="majorEastAsia" w:eastAsiaTheme="majorEastAsia"/>
          <w:b/>
          <w:bCs w:val="0"/>
          <w:w w:val="100"/>
          <w:sz w:val="44"/>
          <w:szCs w:val="44"/>
        </w:rPr>
        <w:t>关于对</w:t>
      </w:r>
      <w:r>
        <w:rPr>
          <w:rFonts w:hint="eastAsia" w:asciiTheme="majorEastAsia" w:hAnsiTheme="majorEastAsia" w:eastAsiaTheme="majorEastAsia"/>
          <w:b/>
          <w:bCs w:val="0"/>
          <w:w w:val="100"/>
          <w:sz w:val="44"/>
          <w:szCs w:val="44"/>
          <w:lang w:val="en-US" w:eastAsia="zh-CN"/>
        </w:rPr>
        <w:t>连云港托尔新型建材有限公司年产200万立方新型墙体、保温建筑材料生产技改项目</w:t>
      </w:r>
      <w:r>
        <w:rPr>
          <w:rFonts w:hint="eastAsia" w:asciiTheme="majorEastAsia" w:hAnsiTheme="majorEastAsia" w:eastAsiaTheme="majorEastAsia"/>
          <w:b/>
          <w:bCs w:val="0"/>
          <w:w w:val="100"/>
          <w:sz w:val="44"/>
          <w:szCs w:val="44"/>
        </w:rPr>
        <w:t>环境影响报告表的批复</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连云港托尔新型建材有限公司：</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委托深圳市百阳环保科技有限公司编制的《年产200万立方新型墙体、保温建筑材料生产技改项目环境影响报告表》（以下简称《报告表》）、连云港灌南县行政审批局的项目代码2020-320724-30-03-601317（灌南行政审批备[2020]8号文）及相关资料收悉。经研究，批复如下：</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一、该项目拟位于江苏省连云港市灌南县经济开发区，项目占地面积30666.7平方米。本项目总投资6000万元。</w:t>
      </w:r>
      <w:r>
        <w:rPr>
          <w:rFonts w:hint="eastAsia" w:ascii="Times New Roman" w:hAnsi="仿宋" w:eastAsia="仿宋"/>
          <w:sz w:val="32"/>
          <w:szCs w:val="32"/>
          <w:lang w:val="en-US" w:eastAsia="zh-CN"/>
        </w:rPr>
        <w:t>项目新型材料</w:t>
      </w:r>
      <w:r>
        <w:rPr>
          <w:rFonts w:hint="eastAsia" w:ascii="仿宋" w:hAnsi="仿宋" w:eastAsia="仿宋" w:cs="仿宋"/>
          <w:sz w:val="32"/>
          <w:szCs w:val="32"/>
          <w:lang w:val="en-US" w:eastAsia="zh-CN"/>
        </w:rPr>
        <w:t>。根据《报告表》的论述及评价结论, 在落实《报告表》中提出的各项污染防治措施、生态保护措施的前提下，从环保角度考虑，你公司按《报告表》所述内容建设具有环境可行性。</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二、在项目工程设计、建设和环境管理中，你公司必须全过程贯彻清洁生产理念，逐项落实《报告表》中提出的环保要求，严格执行环保“三同时”制度，确保各类污染物稳定达标排放。并须着重做好以下工作：</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期：加强管理，合理安排施工现场，建筑材料统一规则堆放，采取定期洒水、防尘网覆盖、限载、封闭运输、使用商品混凝土、优选低噪声设备、控制作业时间等有效措施，减少扬尘、噪声等对周围环境质量的影响；未经批准，不得进行产生噪声污染的夜间作业，边界噪声执行&lt;建筑施工场界环境噪声排放标准&gt;(GB12523-2011)的标准。施工废水经隔油沉淀处理后再利用，不外排。建筑垃圾及时清运。</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营运期：1、本项目运营期废水主要是生活废水、洗砂废水、车辆清洗废水和搅拌机组清洗废水等，生活废水经化粪池处理后回用厂区绿化，洗砂废水、车辆清洗废水和搅拌机组清洗废水经“沉淀罐+压滤机”处理后回用，项目废水不得外排。严格</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》提出污水处理工艺，</w:t>
      </w:r>
      <w:r>
        <w:rPr>
          <w:rFonts w:hint="eastAsia" w:ascii="仿宋" w:hAnsi="仿宋" w:eastAsia="仿宋" w:cs="仿宋"/>
          <w:sz w:val="32"/>
          <w:szCs w:val="32"/>
          <w:lang w:eastAsia="zh-CN"/>
        </w:rPr>
        <w:t>同时</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提出的事故防范和应急预案。</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2、选用低噪声设备、合理布局、减振、隔声和距离衰减等处理，同时必须严格控制生产时段，并减少生产噪声，项目噪声必须满足《工业企业厂界环境噪声排放标准》（GB12348-2008）3</w:t>
      </w:r>
      <w:bookmarkStart w:id="0" w:name="_GoBack"/>
      <w:bookmarkEnd w:id="0"/>
      <w:r>
        <w:rPr>
          <w:rFonts w:hint="eastAsia" w:ascii="仿宋" w:hAnsi="仿宋" w:eastAsia="仿宋" w:cs="仿宋"/>
          <w:sz w:val="32"/>
          <w:szCs w:val="32"/>
          <w:lang w:val="en-US" w:eastAsia="zh-CN"/>
        </w:rPr>
        <w:t>类标准要求。</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default" w:ascii="宋体" w:hAnsi="宋体" w:eastAsia="宋体" w:cs="宋体"/>
          <w:i w:val="0"/>
          <w:caps w:val="0"/>
          <w:color w:val="000000"/>
          <w:spacing w:val="0"/>
          <w:sz w:val="24"/>
          <w:szCs w:val="24"/>
          <w:lang w:val="en-US" w:eastAsia="zh-CN"/>
        </w:rPr>
      </w:pPr>
      <w:r>
        <w:rPr>
          <w:rFonts w:hint="eastAsia" w:ascii="仿宋" w:hAnsi="仿宋" w:eastAsia="仿宋" w:cs="仿宋"/>
          <w:sz w:val="32"/>
          <w:szCs w:val="32"/>
          <w:lang w:val="en-US" w:eastAsia="zh-CN"/>
        </w:rPr>
        <w:t>3、落实《报告表》提出的废气防治措施，确保各类工艺废气的处理效率及排气筒高度等达到《报告表》提出的要求，达标排放。项目运营期须采取全过程密闭、喷淋洒水和地面硬化等措施。制砂生产线粉尘、石子加工生产线粉尘、砌块生产线粉尘和保温砂浆生产线粉尘，排放必须执行《水泥工业大气污染物排放标准》（GB4915-2013）表2中标准要求；砂石装卸、堆场粉尘、车辆运输粉尘和未收集到的粉尘，排放必须执行《水泥工业大气污染物排放标准》（GB4915-2013）表3中标准要求，项目废气必须达标排放。尽可能减轻废气对周边环境质量的影响。</w:t>
      </w:r>
      <w:r>
        <w:rPr>
          <w:rFonts w:hint="eastAsia" w:ascii="宋体" w:hAnsi="宋体" w:eastAsia="宋体" w:cs="宋体"/>
          <w:i w:val="0"/>
          <w:caps w:val="0"/>
          <w:color w:val="000000"/>
          <w:spacing w:val="0"/>
          <w:sz w:val="24"/>
          <w:szCs w:val="24"/>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4、落实各类固体废物的收集、处置和综合利用措施，实现固体废物无害化、减量化、资源化，</w:t>
      </w:r>
      <w:r>
        <w:rPr>
          <w:rFonts w:hint="eastAsia" w:ascii="仿宋" w:hAnsi="仿宋" w:eastAsia="仿宋" w:cs="仿宋"/>
          <w:sz w:val="32"/>
          <w:szCs w:val="32"/>
        </w:rPr>
        <w:t>不得造成二次污染</w:t>
      </w:r>
      <w:r>
        <w:rPr>
          <w:rFonts w:hint="eastAsia" w:ascii="仿宋" w:hAnsi="仿宋" w:eastAsia="仿宋" w:cs="仿宋"/>
          <w:sz w:val="32"/>
          <w:szCs w:val="32"/>
          <w:lang w:val="en-US" w:eastAsia="zh-CN"/>
        </w:rPr>
        <w:t>。项目固废主要为生活垃圾、压滤淤泥、除尘器收集粉尘和不合格板块等。生活垃圾统一收集后由环卫部门定期清运；压滤淤泥和除尘器收集粉尘统一收集后回用于板块生产；不合格板块统一收集后回用于石子加工。一般工业固废处理、处置执行《一般工业固体废物贮存、处置场污染控制标准》（GB 18599-2001）及修改单（2013年第36号）的相关规定。</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rPr>
        <w:t>项目排污口</w:t>
      </w:r>
      <w:r>
        <w:rPr>
          <w:rFonts w:hint="eastAsia" w:ascii="仿宋" w:hAnsi="仿宋" w:eastAsia="仿宋" w:cs="仿宋"/>
          <w:sz w:val="32"/>
          <w:szCs w:val="32"/>
          <w:lang w:eastAsia="zh-CN"/>
        </w:rPr>
        <w:t>需规范化设置</w:t>
      </w:r>
      <w:r>
        <w:rPr>
          <w:rFonts w:hint="default" w:ascii="仿宋" w:hAnsi="仿宋" w:eastAsia="仿宋" w:cs="仿宋"/>
          <w:sz w:val="32"/>
          <w:szCs w:val="32"/>
        </w:rPr>
        <w:t>。</w:t>
      </w:r>
      <w:r>
        <w:rPr>
          <w:rFonts w:hint="eastAsia" w:ascii="仿宋" w:hAnsi="仿宋" w:eastAsia="仿宋" w:cs="仿宋"/>
          <w:sz w:val="32"/>
          <w:szCs w:val="32"/>
        </w:rPr>
        <w:t>按《江苏省排污口设置及规范化整治管理办法》的有关要求，规范化设置各类排污口和标志。按《江苏省污染源自动监控管理暂行办法》（苏环规〔2011〕1号）要求，建设、安装自动监控设备及其配套设施。</w:t>
      </w:r>
      <w:r>
        <w:rPr>
          <w:rFonts w:hint="eastAsia" w:ascii="仿宋" w:hAnsi="仿宋" w:eastAsia="仿宋" w:cs="仿宋"/>
          <w:sz w:val="32"/>
          <w:szCs w:val="32"/>
          <w:lang w:eastAsia="zh-CN"/>
        </w:rPr>
        <w:t>制定并</w:t>
      </w:r>
      <w:r>
        <w:rPr>
          <w:rFonts w:hint="eastAsia" w:ascii="仿宋" w:hAnsi="仿宋" w:eastAsia="仿宋" w:cs="仿宋"/>
          <w:sz w:val="32"/>
          <w:szCs w:val="32"/>
        </w:rPr>
        <w:t>落实</w:t>
      </w:r>
      <w:r>
        <w:rPr>
          <w:rFonts w:hint="eastAsia" w:ascii="仿宋" w:hAnsi="仿宋" w:eastAsia="仿宋" w:cs="仿宋"/>
          <w:sz w:val="32"/>
          <w:szCs w:val="32"/>
          <w:lang w:eastAsia="zh-CN"/>
        </w:rPr>
        <w:t>相应</w:t>
      </w:r>
      <w:r>
        <w:rPr>
          <w:rFonts w:hint="eastAsia" w:ascii="仿宋" w:hAnsi="仿宋" w:eastAsia="仿宋" w:cs="仿宋"/>
          <w:sz w:val="32"/>
          <w:szCs w:val="32"/>
        </w:rPr>
        <w:t>的环境管理及监测计划</w:t>
      </w:r>
      <w:r>
        <w:rPr>
          <w:rFonts w:hint="eastAsia" w:ascii="仿宋" w:hAnsi="仿宋" w:eastAsia="仿宋" w:cs="仿宋"/>
          <w:sz w:val="32"/>
          <w:szCs w:val="32"/>
          <w:lang w:eastAsia="zh-CN"/>
        </w:rPr>
        <w:t>。你公司应在试生产之前取得排污许可。</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对环境治理设施开展安全风险识别管控，健全内部污染防治设施稳定运行和管理责任制度，严格依据标准规范建设环境治理设施，确保环境治理设施安全、稳定、有效运行。</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、总量控制指标落实到位，是作为项目投入生产的前提条件之一。项目实施后，经总量核定主要污染物控制指标：</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大气污染物：颗粒物3.43t/a。</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水污染物：本项目无废水产生。</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固体废物：全部综合利用或安全处置。</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本项目废气污染物总量从灌南县内消减污染物量中予以平衡。</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建设单位必须严格按环评报告表核算要求执行防护距离，防护距离范围内以后不得建有居民、学校、医院等环境敏感目标。灌南县经济开发区管委会须按照承诺做好项目周边卫生防护距离的居民搬迁工作，并按照拆迁计划如期实施到位，建设单位须积极配合管委会依法依规做好卫生防护距离范围内居民搬迁工作，居民未搬迁之前不得正式投入运营。</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、严格执行环保“三同时”制度，确保各类污染物稳定达标排放。</w:t>
      </w:r>
      <w:r>
        <w:rPr>
          <w:rFonts w:hint="eastAsia" w:ascii="仿宋" w:hAnsi="仿宋" w:eastAsia="仿宋" w:cs="仿宋"/>
          <w:sz w:val="32"/>
          <w:szCs w:val="32"/>
          <w:lang w:eastAsia="zh-CN"/>
        </w:rPr>
        <w:t>项目建成后，按相关规定</w:t>
      </w:r>
      <w:r>
        <w:rPr>
          <w:rFonts w:hint="eastAsia" w:ascii="仿宋" w:hAnsi="仿宋" w:eastAsia="仿宋" w:cs="仿宋"/>
          <w:sz w:val="32"/>
          <w:szCs w:val="32"/>
        </w:rPr>
        <w:t>，</w:t>
      </w:r>
      <w:r>
        <w:rPr>
          <w:rFonts w:hint="eastAsia" w:ascii="仿宋" w:hAnsi="仿宋" w:eastAsia="仿宋" w:cs="仿宋"/>
          <w:sz w:val="32"/>
          <w:szCs w:val="32"/>
          <w:lang w:eastAsia="zh-CN"/>
        </w:rPr>
        <w:t>须对配套建设的环保设施进行竣工验收，经验收合格后，方可投入正常运营。</w:t>
      </w:r>
      <w:r>
        <w:rPr>
          <w:rFonts w:hint="eastAsia" w:ascii="仿宋" w:hAnsi="仿宋" w:eastAsia="仿宋" w:cs="仿宋"/>
          <w:sz w:val="32"/>
          <w:szCs w:val="32"/>
        </w:rPr>
        <w:t>违反规定要求的，承担相应环保法律责任。</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、污染治理设施需按有关规范进行日常维护及定期清洗清理，以保证其净化效果，不得无故停运。</w:t>
      </w:r>
    </w:p>
    <w:p>
      <w:pPr>
        <w:pStyle w:val="14"/>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r>
        <w:rPr>
          <w:rFonts w:hint="eastAsia" w:ascii="仿宋" w:hAnsi="仿宋" w:eastAsia="仿宋" w:cs="仿宋"/>
          <w:sz w:val="32"/>
          <w:szCs w:val="32"/>
          <w:lang w:eastAsia="zh-CN"/>
        </w:rPr>
        <w:t>七、</w:t>
      </w:r>
      <w:r>
        <w:rPr>
          <w:rFonts w:hint="eastAsia" w:ascii="仿宋" w:hAnsi="仿宋" w:eastAsia="仿宋" w:cs="仿宋"/>
          <w:sz w:val="32"/>
          <w:szCs w:val="32"/>
        </w:rPr>
        <w:t>若项目的性质、规模、地址、使用的生产工艺或防治污染、防止生态破坏的措施发生重大变动的，应当重新报批项目的环境影响评价文件。项目自批准之日起超过五年方开工建设的，环评文件须报我局重新审核。</w:t>
      </w: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cs="仿宋"/>
          <w:b w:val="0"/>
          <w:bCs w:val="0"/>
          <w:snapToGrid w:val="0"/>
          <w:kern w:val="2"/>
          <w:sz w:val="32"/>
          <w:szCs w:val="32"/>
          <w:lang w:val="en-US" w:eastAsia="zh-CN" w:bidi="ar-SA"/>
        </w:rPr>
        <w:t xml:space="preserve"> </w:t>
      </w:r>
      <w:r>
        <w:rPr>
          <w:rFonts w:hint="eastAsia" w:ascii="仿宋" w:hAnsi="仿宋" w:eastAsia="仿宋" w:cs="仿宋"/>
          <w:sz w:val="32"/>
          <w:szCs w:val="32"/>
          <w:lang w:val="en-US" w:eastAsia="zh-CN"/>
        </w:rPr>
        <w:t xml:space="preserve">连云港市生态环境局 </w:t>
      </w:r>
    </w:p>
    <w:p>
      <w:pPr>
        <w:pStyle w:val="14"/>
        <w:keepNext w:val="0"/>
        <w:keepLines w:val="0"/>
        <w:pageBreakBefore w:val="0"/>
        <w:widowControl w:val="0"/>
        <w:kinsoku/>
        <w:wordWrap w:val="0"/>
        <w:overflowPunct/>
        <w:topLinePunct w:val="0"/>
        <w:autoSpaceDE/>
        <w:autoSpaceDN/>
        <w:bidi w:val="0"/>
        <w:adjustRightInd/>
        <w:snapToGrid w:val="0"/>
        <w:spacing w:after="0" w:line="560" w:lineRule="exact"/>
        <w:ind w:left="0" w:leftChars="0" w:right="0" w:rightChars="0" w:firstLine="640" w:firstLineChars="200"/>
        <w:jc w:val="righ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2020年6月30日   </w:t>
      </w:r>
    </w:p>
    <w:p>
      <w:pPr>
        <w:pStyle w:val="2"/>
        <w:ind w:left="0" w:leftChars="0" w:firstLine="0" w:firstLineChars="0"/>
        <w:rPr>
          <w:rFonts w:hint="eastAsia" w:ascii="仿宋" w:hAnsi="仿宋" w:eastAsia="仿宋" w:cs="Times New Roman"/>
          <w:b w:val="0"/>
          <w:bCs w:val="0"/>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eastAsia="仿宋"/>
          <w:lang w:val="en-US" w:eastAsia="zh-CN"/>
        </w:rPr>
      </w:pPr>
      <w:r>
        <w:rPr>
          <w:rFonts w:hint="eastAsia" w:ascii="仿宋" w:hAnsi="仿宋" w:eastAsia="仿宋" w:cs="仿宋"/>
          <w:sz w:val="32"/>
          <w:szCs w:val="32"/>
        </w:rPr>
        <w:t>抄送：</w:t>
      </w:r>
      <w:r>
        <w:rPr>
          <w:rFonts w:hint="eastAsia" w:ascii="仿宋" w:hAnsi="仿宋" w:eastAsia="仿宋" w:cs="仿宋"/>
          <w:sz w:val="32"/>
          <w:szCs w:val="32"/>
          <w:lang w:eastAsia="zh-CN"/>
        </w:rPr>
        <w:t>连云港市灌南</w:t>
      </w:r>
      <w:r>
        <w:rPr>
          <w:rFonts w:hint="eastAsia" w:ascii="仿宋" w:hAnsi="仿宋" w:eastAsia="仿宋" w:cs="仿宋"/>
          <w:sz w:val="32"/>
          <w:szCs w:val="32"/>
        </w:rPr>
        <w:t>生态环境局，连云港托尔新型建材有限公司</w:t>
      </w:r>
      <w:r>
        <w:rPr>
          <w:rFonts w:hint="eastAsia" w:ascii="仿宋" w:hAnsi="仿宋" w:eastAsia="仿宋" w:cs="仿宋"/>
          <w:sz w:val="32"/>
          <w:szCs w:val="32"/>
          <w:lang w:eastAsia="zh-CN"/>
        </w:rPr>
        <w:t>，深圳市百阳环保科技有限公司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740"/>
    <w:rsid w:val="00363644"/>
    <w:rsid w:val="00524238"/>
    <w:rsid w:val="00A46742"/>
    <w:rsid w:val="00E30277"/>
    <w:rsid w:val="013F0CD6"/>
    <w:rsid w:val="01466A8A"/>
    <w:rsid w:val="018A233D"/>
    <w:rsid w:val="01A968E7"/>
    <w:rsid w:val="01AF2262"/>
    <w:rsid w:val="01AF7CB8"/>
    <w:rsid w:val="02344AEC"/>
    <w:rsid w:val="028F2681"/>
    <w:rsid w:val="02DD3F24"/>
    <w:rsid w:val="035F4A16"/>
    <w:rsid w:val="03667738"/>
    <w:rsid w:val="03677734"/>
    <w:rsid w:val="03732DDB"/>
    <w:rsid w:val="03825526"/>
    <w:rsid w:val="03851164"/>
    <w:rsid w:val="03F95BC6"/>
    <w:rsid w:val="0473245D"/>
    <w:rsid w:val="049C79E9"/>
    <w:rsid w:val="053F2FB1"/>
    <w:rsid w:val="055943B6"/>
    <w:rsid w:val="055B71FC"/>
    <w:rsid w:val="06A87B94"/>
    <w:rsid w:val="07363495"/>
    <w:rsid w:val="073C12EE"/>
    <w:rsid w:val="079121D0"/>
    <w:rsid w:val="07BA1EDD"/>
    <w:rsid w:val="08045298"/>
    <w:rsid w:val="081A4CDE"/>
    <w:rsid w:val="08321348"/>
    <w:rsid w:val="0A860529"/>
    <w:rsid w:val="0AB90EF3"/>
    <w:rsid w:val="0B415A95"/>
    <w:rsid w:val="0BB2389B"/>
    <w:rsid w:val="0C9250D3"/>
    <w:rsid w:val="0CED5FCA"/>
    <w:rsid w:val="0D3905A1"/>
    <w:rsid w:val="0E5A77E0"/>
    <w:rsid w:val="0EAE2D68"/>
    <w:rsid w:val="0EBB6FB3"/>
    <w:rsid w:val="0ECD282E"/>
    <w:rsid w:val="0F047C09"/>
    <w:rsid w:val="103B6360"/>
    <w:rsid w:val="11457F12"/>
    <w:rsid w:val="1208657B"/>
    <w:rsid w:val="12180ED9"/>
    <w:rsid w:val="13322A21"/>
    <w:rsid w:val="136503FE"/>
    <w:rsid w:val="14413468"/>
    <w:rsid w:val="144B381B"/>
    <w:rsid w:val="1456024C"/>
    <w:rsid w:val="14BF70DA"/>
    <w:rsid w:val="15877FEA"/>
    <w:rsid w:val="15EC5027"/>
    <w:rsid w:val="161A2DA0"/>
    <w:rsid w:val="167B3494"/>
    <w:rsid w:val="17B74569"/>
    <w:rsid w:val="17FA16BD"/>
    <w:rsid w:val="187F6390"/>
    <w:rsid w:val="18843076"/>
    <w:rsid w:val="18F04CFF"/>
    <w:rsid w:val="19A602E8"/>
    <w:rsid w:val="1A3707A7"/>
    <w:rsid w:val="1A7F1299"/>
    <w:rsid w:val="1B4A1DA3"/>
    <w:rsid w:val="1C241F47"/>
    <w:rsid w:val="1C39358E"/>
    <w:rsid w:val="1C9622D7"/>
    <w:rsid w:val="1CF1400B"/>
    <w:rsid w:val="1E3B31C0"/>
    <w:rsid w:val="1E7739F1"/>
    <w:rsid w:val="1F4F4740"/>
    <w:rsid w:val="20D342FC"/>
    <w:rsid w:val="2134424C"/>
    <w:rsid w:val="214D47B7"/>
    <w:rsid w:val="22832A52"/>
    <w:rsid w:val="22E37105"/>
    <w:rsid w:val="23611608"/>
    <w:rsid w:val="24741645"/>
    <w:rsid w:val="24847F88"/>
    <w:rsid w:val="25430E6B"/>
    <w:rsid w:val="25535177"/>
    <w:rsid w:val="25D6404D"/>
    <w:rsid w:val="27347B3D"/>
    <w:rsid w:val="276B5AE7"/>
    <w:rsid w:val="278D3BF3"/>
    <w:rsid w:val="27F02AA7"/>
    <w:rsid w:val="27F15C47"/>
    <w:rsid w:val="28485269"/>
    <w:rsid w:val="289E7DF3"/>
    <w:rsid w:val="293A24E4"/>
    <w:rsid w:val="2A0C3177"/>
    <w:rsid w:val="2A24087B"/>
    <w:rsid w:val="2A277F08"/>
    <w:rsid w:val="2A896348"/>
    <w:rsid w:val="2AAA33DB"/>
    <w:rsid w:val="2AF15D0F"/>
    <w:rsid w:val="2B266F1F"/>
    <w:rsid w:val="2B272C3C"/>
    <w:rsid w:val="2B6365F3"/>
    <w:rsid w:val="2B6F5EC6"/>
    <w:rsid w:val="2BCB3118"/>
    <w:rsid w:val="2BFD7D16"/>
    <w:rsid w:val="2C137051"/>
    <w:rsid w:val="2C1939AE"/>
    <w:rsid w:val="2C1C1193"/>
    <w:rsid w:val="2C305E7D"/>
    <w:rsid w:val="2D3F6AA1"/>
    <w:rsid w:val="2D80162B"/>
    <w:rsid w:val="2E004FD8"/>
    <w:rsid w:val="2E540CA9"/>
    <w:rsid w:val="2E7D6A05"/>
    <w:rsid w:val="2F6E35DB"/>
    <w:rsid w:val="2F901567"/>
    <w:rsid w:val="30B86315"/>
    <w:rsid w:val="30DC23AC"/>
    <w:rsid w:val="317018AE"/>
    <w:rsid w:val="31A5444E"/>
    <w:rsid w:val="329B23C0"/>
    <w:rsid w:val="341B622D"/>
    <w:rsid w:val="355D70DE"/>
    <w:rsid w:val="35CE4888"/>
    <w:rsid w:val="35CF17B6"/>
    <w:rsid w:val="36153716"/>
    <w:rsid w:val="361E7FF0"/>
    <w:rsid w:val="3696618B"/>
    <w:rsid w:val="36AF4936"/>
    <w:rsid w:val="37387DAA"/>
    <w:rsid w:val="37466F6B"/>
    <w:rsid w:val="375026BD"/>
    <w:rsid w:val="37F77F3A"/>
    <w:rsid w:val="38035724"/>
    <w:rsid w:val="384B68A2"/>
    <w:rsid w:val="39204E4C"/>
    <w:rsid w:val="3921028B"/>
    <w:rsid w:val="397E22FF"/>
    <w:rsid w:val="3B183964"/>
    <w:rsid w:val="3BBB462C"/>
    <w:rsid w:val="3D374286"/>
    <w:rsid w:val="3D83113C"/>
    <w:rsid w:val="3DD20B15"/>
    <w:rsid w:val="3E7958EA"/>
    <w:rsid w:val="3F223A94"/>
    <w:rsid w:val="3FA72CC3"/>
    <w:rsid w:val="3FBA1E1A"/>
    <w:rsid w:val="403D7C20"/>
    <w:rsid w:val="40665FF8"/>
    <w:rsid w:val="40E27BDC"/>
    <w:rsid w:val="41694325"/>
    <w:rsid w:val="424726BD"/>
    <w:rsid w:val="43421034"/>
    <w:rsid w:val="43506C3C"/>
    <w:rsid w:val="435C24A3"/>
    <w:rsid w:val="4391693F"/>
    <w:rsid w:val="43D80256"/>
    <w:rsid w:val="43F95F18"/>
    <w:rsid w:val="43FF5056"/>
    <w:rsid w:val="44F30308"/>
    <w:rsid w:val="450D05FF"/>
    <w:rsid w:val="456F1EF2"/>
    <w:rsid w:val="463E5750"/>
    <w:rsid w:val="466B3631"/>
    <w:rsid w:val="46A731BB"/>
    <w:rsid w:val="479D4BDC"/>
    <w:rsid w:val="485A10C8"/>
    <w:rsid w:val="48A46167"/>
    <w:rsid w:val="49035926"/>
    <w:rsid w:val="4A4B5A8C"/>
    <w:rsid w:val="4AAF1EE0"/>
    <w:rsid w:val="4B296C1A"/>
    <w:rsid w:val="4B474DA2"/>
    <w:rsid w:val="4F783361"/>
    <w:rsid w:val="4F7923BB"/>
    <w:rsid w:val="4FA45538"/>
    <w:rsid w:val="4FBC093C"/>
    <w:rsid w:val="4FD23CEA"/>
    <w:rsid w:val="512142BA"/>
    <w:rsid w:val="51573B1A"/>
    <w:rsid w:val="51C31E8A"/>
    <w:rsid w:val="542C288D"/>
    <w:rsid w:val="54FD1CBC"/>
    <w:rsid w:val="555A15F1"/>
    <w:rsid w:val="55D14362"/>
    <w:rsid w:val="57DA0F3E"/>
    <w:rsid w:val="57ED6BED"/>
    <w:rsid w:val="58047285"/>
    <w:rsid w:val="59073EC2"/>
    <w:rsid w:val="5A061D04"/>
    <w:rsid w:val="5A576407"/>
    <w:rsid w:val="5A5D5B81"/>
    <w:rsid w:val="5A623C57"/>
    <w:rsid w:val="5B114526"/>
    <w:rsid w:val="5B784896"/>
    <w:rsid w:val="5BA46D80"/>
    <w:rsid w:val="5D2318D6"/>
    <w:rsid w:val="5E4A6155"/>
    <w:rsid w:val="5E5A03C8"/>
    <w:rsid w:val="5EC562B8"/>
    <w:rsid w:val="5F465EA7"/>
    <w:rsid w:val="5FD00F36"/>
    <w:rsid w:val="5FEE1DBB"/>
    <w:rsid w:val="606C610F"/>
    <w:rsid w:val="60A76F1E"/>
    <w:rsid w:val="6148375A"/>
    <w:rsid w:val="61964207"/>
    <w:rsid w:val="6207737D"/>
    <w:rsid w:val="632A5C41"/>
    <w:rsid w:val="63450CE0"/>
    <w:rsid w:val="63625748"/>
    <w:rsid w:val="63695719"/>
    <w:rsid w:val="63842CB9"/>
    <w:rsid w:val="641E0FD2"/>
    <w:rsid w:val="645C54B5"/>
    <w:rsid w:val="6498685C"/>
    <w:rsid w:val="652D4717"/>
    <w:rsid w:val="65DB3C04"/>
    <w:rsid w:val="669A436D"/>
    <w:rsid w:val="66EE2771"/>
    <w:rsid w:val="673B6F5C"/>
    <w:rsid w:val="674A6D69"/>
    <w:rsid w:val="67D66480"/>
    <w:rsid w:val="682353E6"/>
    <w:rsid w:val="682E0824"/>
    <w:rsid w:val="688336A3"/>
    <w:rsid w:val="694C3442"/>
    <w:rsid w:val="6AD01F52"/>
    <w:rsid w:val="6B1A7362"/>
    <w:rsid w:val="6B442A05"/>
    <w:rsid w:val="6B622380"/>
    <w:rsid w:val="6B845682"/>
    <w:rsid w:val="6B9C07E9"/>
    <w:rsid w:val="6BB16976"/>
    <w:rsid w:val="6C3A45BB"/>
    <w:rsid w:val="6C852197"/>
    <w:rsid w:val="6C92715C"/>
    <w:rsid w:val="6D682BE6"/>
    <w:rsid w:val="6DC03D90"/>
    <w:rsid w:val="6E325558"/>
    <w:rsid w:val="6E5148F5"/>
    <w:rsid w:val="6E555E47"/>
    <w:rsid w:val="6F5C1F9F"/>
    <w:rsid w:val="6F99711D"/>
    <w:rsid w:val="6FE62526"/>
    <w:rsid w:val="6FEA3D56"/>
    <w:rsid w:val="702227FA"/>
    <w:rsid w:val="70880E55"/>
    <w:rsid w:val="70992AD8"/>
    <w:rsid w:val="71473150"/>
    <w:rsid w:val="72031FBB"/>
    <w:rsid w:val="72E2458E"/>
    <w:rsid w:val="73D303BB"/>
    <w:rsid w:val="73DD69D1"/>
    <w:rsid w:val="743D644A"/>
    <w:rsid w:val="749C020A"/>
    <w:rsid w:val="76112F9A"/>
    <w:rsid w:val="76DF44C9"/>
    <w:rsid w:val="77C812D1"/>
    <w:rsid w:val="781E1591"/>
    <w:rsid w:val="785B6DE7"/>
    <w:rsid w:val="78C64ABF"/>
    <w:rsid w:val="79946CAB"/>
    <w:rsid w:val="79A92B94"/>
    <w:rsid w:val="7A322657"/>
    <w:rsid w:val="7A520BCF"/>
    <w:rsid w:val="7A98211B"/>
    <w:rsid w:val="7AA14BB0"/>
    <w:rsid w:val="7AD40065"/>
    <w:rsid w:val="7B2D6689"/>
    <w:rsid w:val="7C672A1A"/>
    <w:rsid w:val="7CEC30CA"/>
    <w:rsid w:val="7D053444"/>
    <w:rsid w:val="7D4A3D26"/>
    <w:rsid w:val="7D712FE0"/>
    <w:rsid w:val="7DBA7591"/>
    <w:rsid w:val="7DFE03D1"/>
    <w:rsid w:val="7E0A6D4F"/>
    <w:rsid w:val="7EF15CA3"/>
    <w:rsid w:val="7EF63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3"/>
    <w:basedOn w:val="1"/>
    <w:next w:val="1"/>
    <w:qFormat/>
    <w:uiPriority w:val="0"/>
    <w:pPr>
      <w:keepNext/>
      <w:keepLines/>
      <w:spacing w:before="260" w:after="260" w:line="360" w:lineRule="auto"/>
      <w:outlineLvl w:val="2"/>
    </w:pPr>
    <w:rPr>
      <w:rFonts w:eastAsia="黑体"/>
      <w:bCs/>
      <w:sz w:val="28"/>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5">
    <w:name w:val="Plain Text"/>
    <w:basedOn w:val="1"/>
    <w:qFormat/>
    <w:uiPriority w:val="0"/>
    <w:rPr>
      <w:rFonts w:ascii="宋体" w:hAnsi="Courier New" w:eastAsia="宋体" w:cs="Courier New"/>
      <w:sz w:val="21"/>
      <w:szCs w:val="21"/>
    </w:rPr>
  </w:style>
  <w:style w:type="paragraph" w:styleId="6">
    <w:name w:val="Body Text Indent 2"/>
    <w:basedOn w:val="1"/>
    <w:qFormat/>
    <w:uiPriority w:val="0"/>
    <w:pPr>
      <w:spacing w:line="600" w:lineRule="exact"/>
      <w:ind w:firstLine="645"/>
    </w:pPr>
    <w:rPr>
      <w:rFonts w:ascii="仿宋_GB2312" w:eastAsia="仿宋_GB2312"/>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semiHidden/>
    <w:qFormat/>
    <w:uiPriority w:val="0"/>
    <w:rPr>
      <w:rFonts w:ascii="Arial" w:hAnsi="Arial"/>
      <w:b/>
      <w:bCs/>
    </w:rPr>
  </w:style>
  <w:style w:type="paragraph" w:styleId="10">
    <w:name w:val="index 1"/>
    <w:basedOn w:val="1"/>
    <w:next w:val="1"/>
    <w:semiHidden/>
    <w:qFormat/>
    <w:uiPriority w:val="0"/>
  </w:style>
  <w:style w:type="character" w:styleId="13">
    <w:name w:val="page number"/>
    <w:basedOn w:val="12"/>
    <w:qFormat/>
    <w:uiPriority w:val="0"/>
  </w:style>
  <w:style w:type="paragraph" w:customStyle="1" w:styleId="14">
    <w:name w:val="表格填充1"/>
    <w:basedOn w:val="5"/>
    <w:qFormat/>
    <w:uiPriority w:val="0"/>
    <w:pPr>
      <w:widowControl w:val="0"/>
      <w:adjustRightInd/>
      <w:spacing w:after="0"/>
      <w:jc w:val="both"/>
    </w:pPr>
    <w:rPr>
      <w:rFonts w:ascii="Times New Roman" w:hAnsi="Times New Roman" w:cs="Times New Roman"/>
      <w:snapToGrid w:val="0"/>
      <w:kern w:val="2"/>
      <w:sz w:val="28"/>
      <w:szCs w:val="20"/>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17">
    <w:name w:val="paragraph text-align-type-justify pap-line-28pt pap-line-rule-exact pap-spacing-before-0pt pap-spacing-after-0pt pap-firstline-indent-2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2018-04-24T02:22:00Z</dcterms:created>
  <dc:creator>Administrator</dc:creator>
  <cp:lastModifiedBy>吴小妞</cp:lastModifiedBy>
  <cp:lastPrinted>2020-04-17T07:10:00Z</cp:lastPrinted>
  <dcterms:modified xsi:type="dcterms:W3CDTF">2020-06-30T01:29:47Z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