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ageBreakBefore w:val="0"/>
        <w:widowControl/>
        <w:kinsoku/>
        <w:wordWrap/>
        <w:overflowPunct/>
        <w:topLinePunct w:val="0"/>
        <w:autoSpaceDE/>
        <w:autoSpaceDN/>
        <w:bidi w:val="0"/>
        <w:adjustRightInd w:val="0"/>
        <w:snapToGrid w:val="0"/>
        <w:spacing w:before="0" w:after="0" w:line="460" w:lineRule="exact"/>
        <w:ind w:left="0" w:leftChars="0" w:right="0" w:rightChars="0" w:firstLine="0" w:firstLineChars="0"/>
        <w:textAlignment w:val="auto"/>
      </w:pPr>
    </w:p>
    <w:p>
      <w:pPr>
        <w:pageBreakBefore w:val="0"/>
        <w:widowControl/>
        <w:kinsoku/>
        <w:wordWrap/>
        <w:overflowPunct/>
        <w:topLinePunct w:val="0"/>
        <w:autoSpaceDE/>
        <w:autoSpaceDN/>
        <w:bidi w:val="0"/>
        <w:adjustRightInd w:val="0"/>
        <w:snapToGrid w:val="0"/>
        <w:spacing w:line="460" w:lineRule="exact"/>
        <w:textAlignment w:val="auto"/>
      </w:pPr>
    </w:p>
    <w:p>
      <w:pPr>
        <w:spacing w:line="500" w:lineRule="exact"/>
        <w:ind w:firstLine="5040" w:firstLineChars="1800"/>
        <w:jc w:val="both"/>
        <w:rPr>
          <w:rFonts w:ascii="仿宋" w:hAnsi="仿宋" w:eastAsia="仿宋" w:cs="Times New Roman"/>
          <w:sz w:val="32"/>
          <w:szCs w:val="32"/>
        </w:rPr>
      </w:pPr>
      <w:r>
        <w:rPr>
          <w:rFonts w:hint="eastAsia" w:ascii="仿宋_GB2312" w:hAnsi="仿宋_GB2312" w:eastAsia="仿宋_GB2312" w:cs="仿宋_GB2312"/>
          <w:b w:val="0"/>
          <w:bCs/>
          <w:sz w:val="28"/>
          <w:szCs w:val="28"/>
          <w:lang w:eastAsia="zh-CN"/>
        </w:rPr>
        <w:t>连环表复</w:t>
      </w:r>
      <w:r>
        <w:rPr>
          <w:rFonts w:hint="eastAsia" w:ascii="仿宋" w:hAnsi="仿宋" w:eastAsia="仿宋" w:cs="Times New Roman"/>
          <w:sz w:val="32"/>
          <w:szCs w:val="32"/>
        </w:rPr>
        <w:t>[20</w:t>
      </w:r>
      <w:r>
        <w:rPr>
          <w:rFonts w:hint="eastAsia" w:ascii="仿宋" w:hAnsi="仿宋" w:eastAsia="仿宋" w:cs="Times New Roman"/>
          <w:sz w:val="32"/>
          <w:szCs w:val="32"/>
          <w:lang w:val="en-US" w:eastAsia="zh-CN"/>
        </w:rPr>
        <w:t>20</w:t>
      </w: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号</w:t>
      </w:r>
    </w:p>
    <w:p>
      <w:pPr>
        <w:spacing w:line="500" w:lineRule="exact"/>
        <w:jc w:val="center"/>
        <w:rPr>
          <w:rFonts w:hint="eastAsia" w:asciiTheme="majorEastAsia" w:hAnsiTheme="majorEastAsia" w:eastAsiaTheme="majorEastAsia"/>
          <w:b/>
          <w:bCs w:val="0"/>
          <w:w w:val="100"/>
          <w:sz w:val="44"/>
          <w:szCs w:val="44"/>
          <w:lang w:eastAsia="zh-CN"/>
        </w:rPr>
      </w:pPr>
      <w:r>
        <w:rPr>
          <w:rFonts w:hint="eastAsia" w:asciiTheme="majorEastAsia" w:hAnsiTheme="majorEastAsia" w:eastAsiaTheme="majorEastAsia"/>
          <w:b/>
          <w:bCs w:val="0"/>
          <w:w w:val="100"/>
          <w:sz w:val="44"/>
          <w:szCs w:val="44"/>
        </w:rPr>
        <w:t>关于对连云港</w:t>
      </w:r>
      <w:r>
        <w:rPr>
          <w:rFonts w:hint="eastAsia" w:asciiTheme="majorEastAsia" w:hAnsiTheme="majorEastAsia" w:eastAsiaTheme="majorEastAsia"/>
          <w:b/>
          <w:bCs w:val="0"/>
          <w:w w:val="100"/>
          <w:sz w:val="44"/>
          <w:szCs w:val="44"/>
          <w:lang w:eastAsia="zh-CN"/>
        </w:rPr>
        <w:t>柏海盛塑胶科技</w:t>
      </w:r>
      <w:r>
        <w:rPr>
          <w:rFonts w:hint="eastAsia" w:asciiTheme="majorEastAsia" w:hAnsiTheme="majorEastAsia" w:eastAsiaTheme="majorEastAsia"/>
          <w:b/>
          <w:bCs w:val="0"/>
          <w:w w:val="100"/>
          <w:sz w:val="44"/>
          <w:szCs w:val="44"/>
        </w:rPr>
        <w:t>有限公司</w:t>
      </w:r>
      <w:r>
        <w:rPr>
          <w:rFonts w:hint="eastAsia" w:asciiTheme="majorEastAsia" w:hAnsiTheme="majorEastAsia" w:eastAsiaTheme="majorEastAsia"/>
          <w:b/>
          <w:bCs w:val="0"/>
          <w:w w:val="100"/>
          <w:sz w:val="44"/>
          <w:szCs w:val="44"/>
          <w:lang w:eastAsia="zh-CN"/>
        </w:rPr>
        <w:t>塑料制品制造</w:t>
      </w:r>
      <w:r>
        <w:rPr>
          <w:rFonts w:hint="eastAsia" w:asciiTheme="majorEastAsia" w:hAnsiTheme="majorEastAsia" w:eastAsiaTheme="majorEastAsia"/>
          <w:b/>
          <w:bCs w:val="0"/>
          <w:w w:val="100"/>
          <w:sz w:val="44"/>
          <w:szCs w:val="44"/>
        </w:rPr>
        <w:t>项目环境影响报告表的批复</w:t>
      </w:r>
    </w:p>
    <w:p>
      <w:pPr>
        <w:pStyle w:val="15"/>
        <w:keepNext w:val="0"/>
        <w:keepLines w:val="0"/>
        <w:pageBreakBefore w:val="0"/>
        <w:widowControl w:val="0"/>
        <w:kinsoku/>
        <w:wordWrap/>
        <w:overflowPunct/>
        <w:topLinePunct w:val="0"/>
        <w:autoSpaceDE/>
        <w:autoSpaceDN/>
        <w:bidi w:val="0"/>
        <w:adjustRightInd/>
        <w:snapToGrid w:val="0"/>
        <w:spacing w:after="0" w:line="54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连云港</w:t>
      </w:r>
      <w:r>
        <w:rPr>
          <w:rFonts w:hint="eastAsia" w:ascii="仿宋" w:hAnsi="仿宋" w:eastAsia="仿宋" w:cs="仿宋"/>
          <w:sz w:val="32"/>
          <w:szCs w:val="32"/>
          <w:lang w:eastAsia="zh-CN"/>
        </w:rPr>
        <w:t>柏海盛塑胶科技</w:t>
      </w:r>
      <w:r>
        <w:rPr>
          <w:rFonts w:hint="eastAsia" w:ascii="仿宋" w:hAnsi="仿宋" w:eastAsia="仿宋" w:cs="仿宋"/>
          <w:sz w:val="32"/>
          <w:szCs w:val="32"/>
        </w:rPr>
        <w:t>有限公司：</w:t>
      </w:r>
    </w:p>
    <w:p>
      <w:pPr>
        <w:pStyle w:val="15"/>
        <w:keepNext w:val="0"/>
        <w:keepLines w:val="0"/>
        <w:pageBreakBefore w:val="0"/>
        <w:widowControl w:val="0"/>
        <w:kinsoku/>
        <w:wordWrap/>
        <w:overflowPunct/>
        <w:topLinePunct w:val="0"/>
        <w:autoSpaceDE/>
        <w:autoSpaceDN/>
        <w:bidi w:val="0"/>
        <w:adjustRightInd/>
        <w:snapToGrid w:val="0"/>
        <w:spacing w:after="0"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你公司委托南京易环环保科技有限公司编制的《塑料制品制造项目环境影响报告表》（以下简称《报告表》）、连云港灌南县行政审批局的项目代码2020-320724-29-03-535353（灌南行政审批备[2020]163号文）及相关资料收悉。经研究，批复如下：</w:t>
      </w:r>
    </w:p>
    <w:p>
      <w:pPr>
        <w:pStyle w:val="15"/>
        <w:keepNext w:val="0"/>
        <w:keepLines w:val="0"/>
        <w:pageBreakBefore w:val="0"/>
        <w:widowControl w:val="0"/>
        <w:kinsoku/>
        <w:wordWrap/>
        <w:overflowPunct/>
        <w:topLinePunct w:val="0"/>
        <w:autoSpaceDE/>
        <w:autoSpaceDN/>
        <w:bidi w:val="0"/>
        <w:adjustRightInd/>
        <w:snapToGrid w:val="0"/>
        <w:spacing w:after="0"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一、该项目拟位于江苏省连云港市灌南县经济开发区两岸青年创业园，项目占地面积1660平方米。本项目总投资300万元。根据《报告表》的论述及评价结论, 在落实《报告表》中提出的各项污染防治措施、生态保护措施的前提下，从环保角度考虑，你公司按《报告表》所述内容建设具有环境可行性。</w:t>
      </w:r>
    </w:p>
    <w:p>
      <w:pPr>
        <w:pStyle w:val="15"/>
        <w:keepNext w:val="0"/>
        <w:keepLines w:val="0"/>
        <w:pageBreakBefore w:val="0"/>
        <w:widowControl w:val="0"/>
        <w:kinsoku/>
        <w:wordWrap/>
        <w:overflowPunct/>
        <w:topLinePunct w:val="0"/>
        <w:autoSpaceDE/>
        <w:autoSpaceDN/>
        <w:bidi w:val="0"/>
        <w:adjustRightInd/>
        <w:snapToGrid w:val="0"/>
        <w:spacing w:after="0"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二、在项目工程设计、建设和环境管理中，你公司必须全过程贯彻清洁生产理念，逐项落实《报告表》中提出的环保要求，严格执行环保“三同时”制度，确保各类污染物稳定达标排放。并须着重做好以下工作：</w:t>
      </w:r>
    </w:p>
    <w:p>
      <w:pPr>
        <w:pStyle w:val="15"/>
        <w:keepNext w:val="0"/>
        <w:keepLines w:val="0"/>
        <w:pageBreakBefore w:val="0"/>
        <w:widowControl w:val="0"/>
        <w:kinsoku/>
        <w:wordWrap/>
        <w:overflowPunct/>
        <w:topLinePunct w:val="0"/>
        <w:autoSpaceDE/>
        <w:autoSpaceDN/>
        <w:bidi w:val="0"/>
        <w:adjustRightInd/>
        <w:snapToGrid w:val="0"/>
        <w:spacing w:after="0"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施工期：加强管理，合理安排施工现场，建筑材料统一规则堆放，采取定期洒水、防尘网覆盖、限载、封闭运输、使用商品混凝土、优选低噪声设备、控制作业时间等有效措施，减少扬尘、噪声等对周围环境质量的影响；未经批准，不得进行产生噪声污染的夜间作业，边界噪声执行《建筑施工场界环境噪声排放标准》(GB12523-2011)的标准。施工废水经隔油沉淀处理后再利用，不外排。建筑垃圾及时清运。</w:t>
      </w:r>
    </w:p>
    <w:p>
      <w:pPr>
        <w:pStyle w:val="15"/>
        <w:keepNext w:val="0"/>
        <w:keepLines w:val="0"/>
        <w:pageBreakBefore w:val="0"/>
        <w:widowControl w:val="0"/>
        <w:kinsoku/>
        <w:wordWrap/>
        <w:overflowPunct/>
        <w:topLinePunct w:val="0"/>
        <w:autoSpaceDE/>
        <w:autoSpaceDN/>
        <w:bidi w:val="0"/>
        <w:adjustRightInd/>
        <w:snapToGrid w:val="0"/>
        <w:spacing w:after="0" w:line="540" w:lineRule="exact"/>
        <w:ind w:left="0" w:leftChars="0" w:right="0" w:rightChars="0"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营运期：1、本项目运营期主要是生活废水，经化粪池处理达《污水综合排放标准》（GB8978-1996）三级标准和《污水排入城镇下水道水质标准》（GB/T31962-2015）标准要求后，由市政管网接入灌南海西污水处理有限公司处理，项目废水不得外排。严格</w:t>
      </w:r>
      <w:r>
        <w:rPr>
          <w:rFonts w:hint="eastAsia" w:ascii="仿宋" w:hAnsi="仿宋" w:eastAsia="仿宋" w:cs="仿宋"/>
          <w:sz w:val="32"/>
          <w:szCs w:val="32"/>
        </w:rPr>
        <w:t>落实《报告</w:t>
      </w:r>
      <w:r>
        <w:rPr>
          <w:rFonts w:hint="eastAsia" w:ascii="仿宋" w:hAnsi="仿宋" w:eastAsia="仿宋" w:cs="仿宋"/>
          <w:sz w:val="32"/>
          <w:szCs w:val="32"/>
          <w:lang w:eastAsia="zh-CN"/>
        </w:rPr>
        <w:t>表</w:t>
      </w:r>
      <w:r>
        <w:rPr>
          <w:rFonts w:hint="eastAsia" w:ascii="仿宋" w:hAnsi="仿宋" w:eastAsia="仿宋" w:cs="仿宋"/>
          <w:sz w:val="32"/>
          <w:szCs w:val="32"/>
        </w:rPr>
        <w:t>》提出污水处理工艺，</w:t>
      </w:r>
      <w:r>
        <w:rPr>
          <w:rFonts w:hint="eastAsia" w:ascii="仿宋" w:hAnsi="仿宋" w:eastAsia="仿宋" w:cs="仿宋"/>
          <w:sz w:val="32"/>
          <w:szCs w:val="32"/>
          <w:lang w:eastAsia="zh-CN"/>
        </w:rPr>
        <w:t>同时</w:t>
      </w:r>
      <w:r>
        <w:rPr>
          <w:rFonts w:hint="eastAsia" w:ascii="仿宋" w:hAnsi="仿宋" w:eastAsia="仿宋" w:cs="仿宋"/>
          <w:sz w:val="32"/>
          <w:szCs w:val="32"/>
        </w:rPr>
        <w:t>落实报告</w:t>
      </w:r>
      <w:r>
        <w:rPr>
          <w:rFonts w:hint="eastAsia" w:ascii="仿宋" w:hAnsi="仿宋" w:eastAsia="仿宋" w:cs="仿宋"/>
          <w:sz w:val="32"/>
          <w:szCs w:val="32"/>
          <w:lang w:eastAsia="zh-CN"/>
        </w:rPr>
        <w:t>表</w:t>
      </w:r>
      <w:r>
        <w:rPr>
          <w:rFonts w:hint="eastAsia" w:ascii="仿宋" w:hAnsi="仿宋" w:eastAsia="仿宋" w:cs="仿宋"/>
          <w:sz w:val="32"/>
          <w:szCs w:val="32"/>
        </w:rPr>
        <w:t>提出的事故防范和应急预案。</w:t>
      </w:r>
    </w:p>
    <w:p>
      <w:pPr>
        <w:pStyle w:val="15"/>
        <w:keepNext w:val="0"/>
        <w:keepLines w:val="0"/>
        <w:pageBreakBefore w:val="0"/>
        <w:widowControl w:val="0"/>
        <w:kinsoku/>
        <w:wordWrap/>
        <w:overflowPunct/>
        <w:topLinePunct w:val="0"/>
        <w:autoSpaceDE/>
        <w:autoSpaceDN/>
        <w:bidi w:val="0"/>
        <w:adjustRightInd/>
        <w:snapToGrid w:val="0"/>
        <w:spacing w:after="0"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2、选用低噪声设备、合理布局、减振、隔声和距离衰减等处理，同时必须严格控制生产时段，并减少生产噪声，项目厂界噪声必须满足《工业企业厂界环境噪声排放标准》（GB12348-2008）3类标准要求。</w:t>
      </w:r>
    </w:p>
    <w:p>
      <w:pPr>
        <w:pStyle w:val="15"/>
        <w:keepNext w:val="0"/>
        <w:keepLines w:val="0"/>
        <w:pageBreakBefore w:val="0"/>
        <w:widowControl w:val="0"/>
        <w:kinsoku/>
        <w:wordWrap/>
        <w:overflowPunct/>
        <w:topLinePunct w:val="0"/>
        <w:autoSpaceDE/>
        <w:autoSpaceDN/>
        <w:bidi w:val="0"/>
        <w:adjustRightInd/>
        <w:snapToGrid w:val="0"/>
        <w:spacing w:after="0" w:line="540" w:lineRule="exact"/>
        <w:ind w:left="0" w:leftChars="0" w:right="0" w:rightChars="0" w:firstLine="640" w:firstLineChars="200"/>
        <w:jc w:val="both"/>
        <w:textAlignment w:val="auto"/>
        <w:outlineLvl w:val="9"/>
        <w:rPr>
          <w:rFonts w:hint="default" w:ascii="宋体" w:hAnsi="宋体" w:eastAsia="宋体" w:cs="宋体"/>
          <w:i w:val="0"/>
          <w:caps w:val="0"/>
          <w:color w:val="000000"/>
          <w:spacing w:val="0"/>
          <w:sz w:val="24"/>
          <w:szCs w:val="24"/>
          <w:lang w:val="en-US" w:eastAsia="zh-CN"/>
        </w:rPr>
      </w:pPr>
      <w:r>
        <w:rPr>
          <w:rFonts w:hint="eastAsia" w:ascii="仿宋" w:hAnsi="仿宋" w:eastAsia="仿宋" w:cs="仿宋"/>
          <w:sz w:val="32"/>
          <w:szCs w:val="32"/>
          <w:lang w:val="en-US" w:eastAsia="zh-CN"/>
        </w:rPr>
        <w:t>3、落实《报告表》提出的废气防治措施，确保各类工艺废气的处理效率及排气筒高度等达到《报告表》提出的要求，达标排放。</w:t>
      </w:r>
      <w:r>
        <w:rPr>
          <w:rFonts w:hint="eastAsia" w:ascii="Times New Roman" w:hAnsi="Times New Roman" w:eastAsia="仿宋" w:cs="Times New Roman"/>
          <w:color w:val="000000"/>
          <w:sz w:val="32"/>
          <w:szCs w:val="32"/>
          <w:lang w:eastAsia="zh-CN"/>
        </w:rPr>
        <w:t>运营过程中主要是VOCs（非甲烷总烃），其排放执行《合成树脂工业污染物排放标准》（GB31572-2015）表5和表9的排放限值要求，同时厂区内VOCs浓度执行《挥发性有机物无组织排放控制标准》（GB37822-2019）</w:t>
      </w:r>
      <w:r>
        <w:rPr>
          <w:rFonts w:hint="eastAsia" w:eastAsia="仿宋"/>
          <w:b w:val="0"/>
          <w:bCs w:val="0"/>
          <w:color w:val="000000"/>
          <w:sz w:val="32"/>
          <w:szCs w:val="32"/>
          <w:lang w:eastAsia="zh-CN"/>
        </w:rPr>
        <w:t>，</w:t>
      </w:r>
      <w:r>
        <w:rPr>
          <w:rFonts w:hint="eastAsia" w:ascii="仿宋" w:hAnsi="仿宋" w:eastAsia="仿宋" w:cs="仿宋"/>
          <w:sz w:val="32"/>
          <w:szCs w:val="32"/>
          <w:lang w:val="en-US" w:eastAsia="zh-CN"/>
        </w:rPr>
        <w:t>项目废气必须达标排放。尽可能减轻废气对周边环境质量的影响。</w:t>
      </w:r>
      <w:r>
        <w:rPr>
          <w:rFonts w:hint="eastAsia" w:ascii="宋体" w:hAnsi="宋体" w:eastAsia="宋体" w:cs="宋体"/>
          <w:i w:val="0"/>
          <w:caps w:val="0"/>
          <w:color w:val="000000"/>
          <w:spacing w:val="0"/>
          <w:sz w:val="24"/>
          <w:szCs w:val="24"/>
          <w:lang w:val="en-US" w:eastAsia="zh-CN"/>
        </w:rPr>
        <w:t xml:space="preserve">                                                                                                                                                                                                                                                                                                                                                                                                                                                                                                                                    </w:t>
      </w:r>
    </w:p>
    <w:p>
      <w:pPr>
        <w:pStyle w:val="15"/>
        <w:keepNext w:val="0"/>
        <w:keepLines w:val="0"/>
        <w:pageBreakBefore w:val="0"/>
        <w:widowControl w:val="0"/>
        <w:kinsoku/>
        <w:wordWrap/>
        <w:overflowPunct/>
        <w:topLinePunct w:val="0"/>
        <w:autoSpaceDE/>
        <w:autoSpaceDN/>
        <w:bidi w:val="0"/>
        <w:adjustRightInd/>
        <w:snapToGrid w:val="0"/>
        <w:spacing w:after="0"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4、落实各类固体废物的收集、处置和综合利用措施，实现固体废物无害化、减量化、资源化，</w:t>
      </w:r>
      <w:r>
        <w:rPr>
          <w:rFonts w:hint="eastAsia" w:ascii="仿宋" w:hAnsi="仿宋" w:eastAsia="仿宋" w:cs="仿宋"/>
          <w:sz w:val="32"/>
          <w:szCs w:val="32"/>
        </w:rPr>
        <w:t>不得造成二次污染</w:t>
      </w:r>
      <w:r>
        <w:rPr>
          <w:rFonts w:hint="eastAsia" w:ascii="仿宋" w:hAnsi="仿宋" w:eastAsia="仿宋" w:cs="仿宋"/>
          <w:sz w:val="32"/>
          <w:szCs w:val="32"/>
          <w:lang w:val="en-US" w:eastAsia="zh-CN"/>
        </w:rPr>
        <w:t>。项目固废主</w:t>
      </w:r>
      <w:r>
        <w:rPr>
          <w:rFonts w:hint="eastAsia" w:ascii="仿宋" w:hAnsi="仿宋" w:eastAsia="仿宋" w:cs="仿宋"/>
          <w:color w:val="000000" w:themeColor="text1"/>
          <w:sz w:val="32"/>
          <w:szCs w:val="32"/>
          <w:lang w:val="en-US" w:eastAsia="zh-CN"/>
          <w14:textFill>
            <w14:solidFill>
              <w14:schemeClr w14:val="tx1"/>
            </w14:solidFill>
          </w14:textFill>
        </w:rPr>
        <w:t>要为生活垃圾、边角料及不合格品、除尘器收集粉尘、废包装袋和废活性炭</w:t>
      </w:r>
      <w:r>
        <w:rPr>
          <w:rFonts w:hint="eastAsia" w:ascii="仿宋" w:hAnsi="仿宋" w:eastAsia="仿宋" w:cs="仿宋"/>
          <w:color w:val="000000" w:themeColor="text1"/>
          <w:sz w:val="32"/>
          <w:szCs w:val="32"/>
          <w:lang w:val="en-US" w:eastAsia="zh-CN"/>
          <w14:textFill>
            <w14:solidFill>
              <w14:schemeClr w14:val="tx1"/>
            </w14:solidFill>
          </w14:textFill>
        </w:rPr>
        <w:t>等。生活垃圾统一收集后由环卫部门定期清运；边角料及不合格品、除尘器收集粉尘统一收集后回用；废包装袋统一收</w:t>
      </w:r>
      <w:r>
        <w:rPr>
          <w:rFonts w:hint="eastAsia" w:ascii="仿宋" w:hAnsi="仿宋" w:eastAsia="仿宋" w:cs="仿宋"/>
          <w:sz w:val="32"/>
          <w:szCs w:val="32"/>
          <w:lang w:val="en-US" w:eastAsia="zh-CN"/>
        </w:rPr>
        <w:t>集后外售；废活性炭统一收集后委托有资质单位安全处置。一般工业固废处理、处置执行《一般工业固体废物贮存、处置场污染控制标准》（GB 18599-2001）及修改单（2013年第36号）的相关规定；危险工业固废处理、处置执行《危险废物贮存及污染控制标准》（GB18597-2001）及修改单的相关要求和《省生态环境厅关于进一步加强危险废物污染防治工作的实施意见》（苏环办〔2019〕327号）要求，防止产生二次污染。</w:t>
      </w:r>
    </w:p>
    <w:p>
      <w:pPr>
        <w:pStyle w:val="15"/>
        <w:keepNext w:val="0"/>
        <w:keepLines w:val="0"/>
        <w:pageBreakBefore w:val="0"/>
        <w:widowControl w:val="0"/>
        <w:kinsoku/>
        <w:wordWrap/>
        <w:overflowPunct/>
        <w:topLinePunct w:val="0"/>
        <w:autoSpaceDE/>
        <w:autoSpaceDN/>
        <w:bidi w:val="0"/>
        <w:adjustRightInd/>
        <w:snapToGrid w:val="0"/>
        <w:spacing w:after="0" w:line="54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default" w:ascii="仿宋" w:hAnsi="仿宋" w:eastAsia="仿宋" w:cs="仿宋"/>
          <w:sz w:val="32"/>
          <w:szCs w:val="32"/>
        </w:rPr>
        <w:t>项目排污口</w:t>
      </w:r>
      <w:r>
        <w:rPr>
          <w:rFonts w:hint="eastAsia" w:ascii="仿宋" w:hAnsi="仿宋" w:eastAsia="仿宋" w:cs="仿宋"/>
          <w:sz w:val="32"/>
          <w:szCs w:val="32"/>
          <w:lang w:eastAsia="zh-CN"/>
        </w:rPr>
        <w:t>需规范化设置</w:t>
      </w:r>
      <w:r>
        <w:rPr>
          <w:rFonts w:hint="default" w:ascii="仿宋" w:hAnsi="仿宋" w:eastAsia="仿宋" w:cs="仿宋"/>
          <w:sz w:val="32"/>
          <w:szCs w:val="32"/>
        </w:rPr>
        <w:t>。</w:t>
      </w:r>
      <w:r>
        <w:rPr>
          <w:rFonts w:hint="eastAsia" w:ascii="仿宋" w:hAnsi="仿宋" w:eastAsia="仿宋" w:cs="仿宋"/>
          <w:sz w:val="32"/>
          <w:szCs w:val="32"/>
        </w:rPr>
        <w:t>按《江苏省排污口设置及规范化整治管理办法》的有关要求，规范化设置各类排污口和标志。</w:t>
      </w:r>
      <w:r>
        <w:rPr>
          <w:rFonts w:hint="eastAsia" w:ascii="仿宋" w:hAnsi="仿宋" w:eastAsia="仿宋" w:cs="仿宋"/>
          <w:sz w:val="32"/>
          <w:szCs w:val="32"/>
          <w:lang w:eastAsia="zh-CN"/>
        </w:rPr>
        <w:t>制定并</w:t>
      </w:r>
      <w:r>
        <w:rPr>
          <w:rFonts w:hint="eastAsia" w:ascii="仿宋" w:hAnsi="仿宋" w:eastAsia="仿宋" w:cs="仿宋"/>
          <w:sz w:val="32"/>
          <w:szCs w:val="32"/>
        </w:rPr>
        <w:t>落实</w:t>
      </w:r>
      <w:r>
        <w:rPr>
          <w:rFonts w:hint="eastAsia" w:ascii="仿宋" w:hAnsi="仿宋" w:eastAsia="仿宋" w:cs="仿宋"/>
          <w:sz w:val="32"/>
          <w:szCs w:val="32"/>
          <w:lang w:eastAsia="zh-CN"/>
        </w:rPr>
        <w:t>《报告表》中相应</w:t>
      </w:r>
      <w:r>
        <w:rPr>
          <w:rFonts w:hint="eastAsia" w:ascii="仿宋" w:hAnsi="仿宋" w:eastAsia="仿宋" w:cs="仿宋"/>
          <w:sz w:val="32"/>
          <w:szCs w:val="32"/>
        </w:rPr>
        <w:t>的环境管理及监测计划</w:t>
      </w:r>
      <w:r>
        <w:rPr>
          <w:rFonts w:hint="eastAsia" w:ascii="仿宋" w:hAnsi="仿宋" w:eastAsia="仿宋" w:cs="仿宋"/>
          <w:sz w:val="32"/>
          <w:szCs w:val="32"/>
          <w:lang w:eastAsia="zh-CN"/>
        </w:rPr>
        <w:t>。你公司应在试生产之前取得排污许可。</w:t>
      </w:r>
    </w:p>
    <w:p>
      <w:pPr>
        <w:pStyle w:val="15"/>
        <w:keepNext w:val="0"/>
        <w:keepLines w:val="0"/>
        <w:pageBreakBefore w:val="0"/>
        <w:widowControl w:val="0"/>
        <w:kinsoku/>
        <w:wordWrap/>
        <w:overflowPunct/>
        <w:topLinePunct w:val="0"/>
        <w:autoSpaceDE/>
        <w:autoSpaceDN/>
        <w:bidi w:val="0"/>
        <w:adjustRightInd/>
        <w:snapToGrid w:val="0"/>
        <w:spacing w:after="0"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default" w:ascii="仿宋" w:hAnsi="仿宋" w:eastAsia="仿宋" w:cs="仿宋"/>
          <w:sz w:val="32"/>
          <w:szCs w:val="32"/>
          <w:lang w:val="en-US" w:eastAsia="zh-CN"/>
        </w:rPr>
        <w:t>对环境治理设施开展安全风险识别管控，健全内部污染防治设施稳定运行和管理责任制度，严格依据标准规范建设环境治理设施，确保环境治理设施安全、稳定、有效运行。</w:t>
      </w:r>
    </w:p>
    <w:p>
      <w:pPr>
        <w:pStyle w:val="15"/>
        <w:keepNext w:val="0"/>
        <w:keepLines w:val="0"/>
        <w:pageBreakBefore w:val="0"/>
        <w:widowControl w:val="0"/>
        <w:kinsoku/>
        <w:wordWrap/>
        <w:overflowPunct/>
        <w:topLinePunct w:val="0"/>
        <w:autoSpaceDE/>
        <w:autoSpaceDN/>
        <w:bidi w:val="0"/>
        <w:adjustRightInd/>
        <w:snapToGrid w:val="0"/>
        <w:spacing w:after="0"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三</w:t>
      </w:r>
      <w:r>
        <w:rPr>
          <w:rFonts w:hint="eastAsia" w:ascii="仿宋" w:hAnsi="仿宋" w:eastAsia="仿宋" w:cs="仿宋"/>
          <w:sz w:val="32"/>
          <w:szCs w:val="32"/>
        </w:rPr>
        <w:t>、本项目实施后，</w:t>
      </w:r>
      <w:r>
        <w:rPr>
          <w:rFonts w:hint="eastAsia" w:ascii="仿宋" w:hAnsi="仿宋" w:eastAsia="仿宋" w:cs="仿宋"/>
          <w:sz w:val="32"/>
          <w:szCs w:val="32"/>
          <w:lang w:val="en-US" w:eastAsia="zh-CN"/>
        </w:rPr>
        <w:t>污染物排放的总量</w:t>
      </w:r>
      <w:r>
        <w:rPr>
          <w:rFonts w:hint="eastAsia" w:ascii="仿宋" w:hAnsi="仿宋" w:eastAsia="仿宋" w:cs="仿宋"/>
          <w:sz w:val="32"/>
          <w:szCs w:val="32"/>
        </w:rPr>
        <w:t>初步核定</w:t>
      </w:r>
      <w:r>
        <w:rPr>
          <w:rFonts w:hint="eastAsia" w:ascii="仿宋" w:hAnsi="仿宋" w:eastAsia="仿宋" w:cs="仿宋"/>
          <w:sz w:val="32"/>
          <w:szCs w:val="32"/>
          <w:lang w:val="en-US" w:eastAsia="zh-CN"/>
        </w:rPr>
        <w:t>为：</w:t>
      </w:r>
    </w:p>
    <w:p>
      <w:pPr>
        <w:pStyle w:val="15"/>
        <w:keepNext w:val="0"/>
        <w:keepLines w:val="0"/>
        <w:pageBreakBefore w:val="0"/>
        <w:widowControl w:val="0"/>
        <w:kinsoku/>
        <w:wordWrap/>
        <w:overflowPunct/>
        <w:topLinePunct w:val="0"/>
        <w:autoSpaceDE/>
        <w:autoSpaceDN/>
        <w:bidi w:val="0"/>
        <w:adjustRightInd/>
        <w:snapToGrid w:val="0"/>
        <w:spacing w:after="0"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水污染物：废水量135m³/a、COD0.0068t/a、          氨氮0.0007t/a、总氮0.002t/a、总磷0.0001t/a。</w:t>
      </w:r>
    </w:p>
    <w:p>
      <w:pPr>
        <w:pStyle w:val="15"/>
        <w:keepNext w:val="0"/>
        <w:keepLines w:val="0"/>
        <w:pageBreakBefore w:val="0"/>
        <w:widowControl w:val="0"/>
        <w:kinsoku/>
        <w:wordWrap/>
        <w:overflowPunct/>
        <w:topLinePunct w:val="0"/>
        <w:autoSpaceDE/>
        <w:autoSpaceDN/>
        <w:bidi w:val="0"/>
        <w:adjustRightInd/>
        <w:snapToGrid w:val="0"/>
        <w:spacing w:after="0" w:line="540" w:lineRule="exact"/>
        <w:ind w:left="0" w:leftChars="0" w:right="0" w:rightChars="0"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大气污染物：颗粒物0.027t/a、VOCs0.598t/a。</w:t>
      </w:r>
    </w:p>
    <w:p>
      <w:pPr>
        <w:pStyle w:val="15"/>
        <w:keepNext w:val="0"/>
        <w:keepLines w:val="0"/>
        <w:pageBreakBefore w:val="0"/>
        <w:widowControl w:val="0"/>
        <w:kinsoku/>
        <w:wordWrap/>
        <w:overflowPunct/>
        <w:topLinePunct w:val="0"/>
        <w:autoSpaceDE/>
        <w:autoSpaceDN/>
        <w:bidi w:val="0"/>
        <w:adjustRightInd/>
        <w:snapToGrid w:val="0"/>
        <w:spacing w:after="0"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本项目废水污染物总量从灌南县海西污水处理有限公司排放量中予以平衡。废气污染物总量从灌南县内消减污染物量中予以平衡。</w:t>
      </w:r>
    </w:p>
    <w:p>
      <w:pPr>
        <w:pStyle w:val="15"/>
        <w:keepNext w:val="0"/>
        <w:keepLines w:val="0"/>
        <w:pageBreakBefore w:val="0"/>
        <w:widowControl w:val="0"/>
        <w:kinsoku/>
        <w:wordWrap/>
        <w:overflowPunct/>
        <w:topLinePunct w:val="0"/>
        <w:autoSpaceDE/>
        <w:autoSpaceDN/>
        <w:bidi w:val="0"/>
        <w:adjustRightInd/>
        <w:snapToGrid w:val="0"/>
        <w:spacing w:after="0"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、严格执行环保“三同时”制度，确保各类污染物稳定达标排放。</w:t>
      </w:r>
      <w:r>
        <w:rPr>
          <w:rFonts w:hint="eastAsia" w:ascii="仿宋" w:hAnsi="仿宋" w:eastAsia="仿宋" w:cs="仿宋"/>
          <w:sz w:val="32"/>
          <w:szCs w:val="32"/>
          <w:lang w:eastAsia="zh-CN"/>
        </w:rPr>
        <w:t>项目建成后，按相关规定</w:t>
      </w:r>
      <w:r>
        <w:rPr>
          <w:rFonts w:hint="eastAsia" w:ascii="仿宋" w:hAnsi="仿宋" w:eastAsia="仿宋" w:cs="仿宋"/>
          <w:sz w:val="32"/>
          <w:szCs w:val="32"/>
        </w:rPr>
        <w:t>，</w:t>
      </w:r>
      <w:r>
        <w:rPr>
          <w:rFonts w:hint="eastAsia" w:ascii="仿宋" w:hAnsi="仿宋" w:eastAsia="仿宋" w:cs="仿宋"/>
          <w:sz w:val="32"/>
          <w:szCs w:val="32"/>
          <w:lang w:eastAsia="zh-CN"/>
        </w:rPr>
        <w:t>须对配套建设的环保设施进行竣工验收，经验收合格后，方可投入正常运营。</w:t>
      </w:r>
      <w:r>
        <w:rPr>
          <w:rFonts w:hint="eastAsia" w:ascii="仿宋" w:hAnsi="仿宋" w:eastAsia="仿宋" w:cs="仿宋"/>
          <w:sz w:val="32"/>
          <w:szCs w:val="32"/>
        </w:rPr>
        <w:t>违反规定要求的，承担相应环保法律责任。</w:t>
      </w:r>
    </w:p>
    <w:p>
      <w:pPr>
        <w:pStyle w:val="15"/>
        <w:keepNext w:val="0"/>
        <w:keepLines w:val="0"/>
        <w:pageBreakBefore w:val="0"/>
        <w:widowControl w:val="0"/>
        <w:kinsoku/>
        <w:wordWrap/>
        <w:overflowPunct/>
        <w:topLinePunct w:val="0"/>
        <w:autoSpaceDE/>
        <w:autoSpaceDN/>
        <w:bidi w:val="0"/>
        <w:adjustRightInd/>
        <w:snapToGrid w:val="0"/>
        <w:spacing w:after="0"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、污染治理设施需按有关规范进行日常维护及定期清洗清理，以保证其净化效果，不得无故停运。</w:t>
      </w:r>
    </w:p>
    <w:p>
      <w:pPr>
        <w:pStyle w:val="15"/>
        <w:keepNext w:val="0"/>
        <w:keepLines w:val="0"/>
        <w:pageBreakBefore w:val="0"/>
        <w:widowControl w:val="0"/>
        <w:kinsoku/>
        <w:wordWrap/>
        <w:overflowPunct/>
        <w:topLinePunct w:val="0"/>
        <w:autoSpaceDE/>
        <w:autoSpaceDN/>
        <w:bidi w:val="0"/>
        <w:adjustRightInd/>
        <w:snapToGrid w:val="0"/>
        <w:spacing w:after="0" w:line="540" w:lineRule="exact"/>
        <w:ind w:left="0" w:leftChars="0" w:right="0" w:rightChars="0" w:firstLine="640" w:firstLineChars="200"/>
        <w:jc w:val="both"/>
        <w:textAlignment w:val="auto"/>
        <w:outlineLvl w:val="9"/>
        <w:rPr>
          <w:rFonts w:hint="eastAsia" w:ascii="仿宋" w:hAnsi="仿宋" w:eastAsia="仿宋" w:cs="仿宋"/>
          <w:snapToGrid w:val="0"/>
          <w:kern w:val="2"/>
          <w:sz w:val="32"/>
          <w:szCs w:val="32"/>
          <w:lang w:val="en-US" w:eastAsia="zh-CN" w:bidi="ar-SA"/>
        </w:rPr>
      </w:pPr>
      <w:r>
        <w:rPr>
          <w:rFonts w:hint="eastAsia" w:ascii="仿宋" w:hAnsi="仿宋" w:eastAsia="仿宋" w:cs="仿宋"/>
          <w:sz w:val="32"/>
          <w:szCs w:val="32"/>
          <w:lang w:eastAsia="zh-CN"/>
        </w:rPr>
        <w:t>六</w:t>
      </w:r>
      <w:r>
        <w:rPr>
          <w:rFonts w:hint="eastAsia" w:ascii="仿宋" w:hAnsi="仿宋" w:eastAsia="仿宋" w:cs="仿宋"/>
          <w:sz w:val="32"/>
          <w:szCs w:val="32"/>
        </w:rPr>
        <w:t>、若项目的性质、规模、地址、使用的生产工艺或防治污染、防止生态破坏的措施发生重大变动的，应当重新报批项目的环境影响评价文件。项目自批准之日起超过五年方开工建设的，环评文件须报我局重新审核。</w:t>
      </w:r>
    </w:p>
    <w:p>
      <w:pPr>
        <w:pStyle w:val="15"/>
        <w:keepNext w:val="0"/>
        <w:keepLines w:val="0"/>
        <w:pageBreakBefore w:val="0"/>
        <w:widowControl w:val="0"/>
        <w:kinsoku/>
        <w:wordWrap/>
        <w:overflowPunct/>
        <w:topLinePunct w:val="0"/>
        <w:autoSpaceDE/>
        <w:autoSpaceDN/>
        <w:bidi w:val="0"/>
        <w:adjustRightInd/>
        <w:snapToGrid w:val="0"/>
        <w:spacing w:after="0" w:line="560" w:lineRule="exact"/>
        <w:ind w:left="0" w:leftChars="0" w:right="0" w:rightChars="0" w:firstLine="640" w:firstLineChars="200"/>
        <w:jc w:val="both"/>
        <w:textAlignment w:val="auto"/>
        <w:outlineLvl w:val="9"/>
        <w:rPr>
          <w:rFonts w:hint="eastAsia" w:ascii="仿宋" w:hAnsi="仿宋" w:eastAsia="仿宋" w:cs="仿宋"/>
          <w:snapToGrid w:val="0"/>
          <w:kern w:val="2"/>
          <w:sz w:val="32"/>
          <w:szCs w:val="32"/>
          <w:lang w:val="en-US" w:eastAsia="zh-CN" w:bidi="ar-SA"/>
        </w:rPr>
      </w:pPr>
    </w:p>
    <w:p>
      <w:pPr>
        <w:pStyle w:val="15"/>
        <w:keepNext w:val="0"/>
        <w:keepLines w:val="0"/>
        <w:pageBreakBefore w:val="0"/>
        <w:widowControl w:val="0"/>
        <w:kinsoku/>
        <w:wordWrap/>
        <w:overflowPunct/>
        <w:topLinePunct w:val="0"/>
        <w:autoSpaceDE/>
        <w:autoSpaceDN/>
        <w:bidi w:val="0"/>
        <w:adjustRightInd/>
        <w:snapToGrid w:val="0"/>
        <w:spacing w:after="0" w:line="560" w:lineRule="exact"/>
        <w:ind w:left="0" w:leftChars="0" w:right="0" w:rightChars="0" w:firstLine="640" w:firstLineChars="200"/>
        <w:jc w:val="both"/>
        <w:textAlignment w:val="auto"/>
        <w:outlineLvl w:val="9"/>
        <w:rPr>
          <w:rFonts w:hint="eastAsia" w:ascii="仿宋" w:hAnsi="仿宋" w:eastAsia="仿宋" w:cs="仿宋"/>
          <w:snapToGrid w:val="0"/>
          <w:kern w:val="2"/>
          <w:sz w:val="32"/>
          <w:szCs w:val="32"/>
          <w:lang w:val="en-US" w:eastAsia="zh-CN" w:bidi="ar-SA"/>
        </w:rPr>
      </w:pPr>
    </w:p>
    <w:p>
      <w:pPr>
        <w:pStyle w:val="15"/>
        <w:keepNext w:val="0"/>
        <w:keepLines w:val="0"/>
        <w:pageBreakBefore w:val="0"/>
        <w:widowControl w:val="0"/>
        <w:kinsoku/>
        <w:wordWrap/>
        <w:overflowPunct/>
        <w:topLinePunct w:val="0"/>
        <w:autoSpaceDE/>
        <w:autoSpaceDN/>
        <w:bidi w:val="0"/>
        <w:adjustRightInd/>
        <w:snapToGrid w:val="0"/>
        <w:spacing w:after="0" w:line="560" w:lineRule="exact"/>
        <w:ind w:left="0" w:leftChars="0" w:right="0" w:rightChars="0"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Times New Roman"/>
          <w:b w:val="0"/>
          <w:bCs w:val="0"/>
          <w:sz w:val="32"/>
          <w:szCs w:val="32"/>
          <w:lang w:val="en-US" w:eastAsia="zh-CN"/>
        </w:rPr>
        <w:t xml:space="preserve">                           </w:t>
      </w:r>
      <w:r>
        <w:rPr>
          <w:rFonts w:hint="eastAsia" w:ascii="仿宋" w:hAnsi="仿宋" w:eastAsia="仿宋" w:cs="仿宋"/>
          <w:b w:val="0"/>
          <w:bCs w:val="0"/>
          <w:snapToGrid w:val="0"/>
          <w:kern w:val="2"/>
          <w:sz w:val="32"/>
          <w:szCs w:val="32"/>
          <w:lang w:val="en-US" w:eastAsia="zh-CN" w:bidi="ar-SA"/>
        </w:rPr>
        <w:t xml:space="preserve"> </w:t>
      </w:r>
      <w:r>
        <w:rPr>
          <w:rFonts w:hint="eastAsia" w:ascii="仿宋" w:hAnsi="仿宋" w:eastAsia="仿宋" w:cs="仿宋"/>
          <w:sz w:val="32"/>
          <w:szCs w:val="32"/>
          <w:lang w:val="en-US" w:eastAsia="zh-CN"/>
        </w:rPr>
        <w:t xml:space="preserve">连云港市生态环境局 </w:t>
      </w:r>
    </w:p>
    <w:p>
      <w:pPr>
        <w:pStyle w:val="15"/>
        <w:keepNext w:val="0"/>
        <w:keepLines w:val="0"/>
        <w:pageBreakBefore w:val="0"/>
        <w:widowControl w:val="0"/>
        <w:kinsoku/>
        <w:wordWrap w:val="0"/>
        <w:overflowPunct/>
        <w:topLinePunct w:val="0"/>
        <w:autoSpaceDE/>
        <w:autoSpaceDN/>
        <w:bidi w:val="0"/>
        <w:adjustRightInd/>
        <w:snapToGrid w:val="0"/>
        <w:spacing w:after="0" w:line="560" w:lineRule="exact"/>
        <w:ind w:left="0" w:leftChars="0" w:right="0" w:rightChars="0" w:firstLine="640" w:firstLineChars="200"/>
        <w:jc w:val="righ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2020年9月24日   </w:t>
      </w:r>
    </w:p>
    <w:p>
      <w:pPr>
        <w:pStyle w:val="15"/>
        <w:keepNext w:val="0"/>
        <w:keepLines w:val="0"/>
        <w:pageBreakBefore w:val="0"/>
        <w:widowControl w:val="0"/>
        <w:kinsoku/>
        <w:wordWrap/>
        <w:overflowPunct/>
        <w:topLinePunct w:val="0"/>
        <w:autoSpaceDE/>
        <w:autoSpaceDN/>
        <w:bidi w:val="0"/>
        <w:adjustRightInd/>
        <w:snapToGrid w:val="0"/>
        <w:spacing w:after="0" w:line="560" w:lineRule="exact"/>
        <w:ind w:right="0" w:rightChars="0"/>
        <w:jc w:val="both"/>
        <w:textAlignment w:val="auto"/>
        <w:outlineLvl w:val="9"/>
        <w:rPr>
          <w:rFonts w:hint="eastAsia" w:ascii="仿宋" w:hAnsi="仿宋" w:eastAsia="仿宋" w:cs="仿宋"/>
          <w:sz w:val="32"/>
          <w:szCs w:val="32"/>
        </w:rPr>
      </w:pPr>
    </w:p>
    <w:p>
      <w:pPr>
        <w:pStyle w:val="15"/>
        <w:keepNext w:val="0"/>
        <w:keepLines w:val="0"/>
        <w:pageBreakBefore w:val="0"/>
        <w:widowControl w:val="0"/>
        <w:kinsoku/>
        <w:wordWrap/>
        <w:overflowPunct/>
        <w:topLinePunct w:val="0"/>
        <w:autoSpaceDE/>
        <w:autoSpaceDN/>
        <w:bidi w:val="0"/>
        <w:adjustRightInd/>
        <w:snapToGrid w:val="0"/>
        <w:spacing w:after="0" w:line="560" w:lineRule="exact"/>
        <w:ind w:right="0" w:rightChars="0"/>
        <w:jc w:val="both"/>
        <w:textAlignment w:val="auto"/>
        <w:outlineLvl w:val="9"/>
        <w:rPr>
          <w:rFonts w:hint="eastAsia" w:ascii="仿宋" w:hAnsi="仿宋" w:eastAsia="仿宋" w:cs="仿宋"/>
          <w:sz w:val="32"/>
          <w:szCs w:val="32"/>
        </w:rPr>
      </w:pPr>
    </w:p>
    <w:p>
      <w:pPr>
        <w:pStyle w:val="15"/>
        <w:keepNext w:val="0"/>
        <w:keepLines w:val="0"/>
        <w:pageBreakBefore w:val="0"/>
        <w:widowControl w:val="0"/>
        <w:kinsoku/>
        <w:wordWrap/>
        <w:overflowPunct/>
        <w:topLinePunct w:val="0"/>
        <w:autoSpaceDE/>
        <w:autoSpaceDN/>
        <w:bidi w:val="0"/>
        <w:adjustRightInd/>
        <w:snapToGrid w:val="0"/>
        <w:spacing w:after="0" w:line="560" w:lineRule="exact"/>
        <w:ind w:right="0" w:rightChars="0"/>
        <w:jc w:val="both"/>
        <w:textAlignment w:val="auto"/>
        <w:outlineLvl w:val="9"/>
        <w:rPr>
          <w:rFonts w:hint="eastAsia" w:ascii="仿宋" w:hAnsi="仿宋" w:eastAsia="仿宋" w:cs="仿宋"/>
          <w:sz w:val="32"/>
          <w:szCs w:val="32"/>
        </w:rPr>
      </w:pPr>
    </w:p>
    <w:p>
      <w:pPr>
        <w:pStyle w:val="15"/>
        <w:keepNext w:val="0"/>
        <w:keepLines w:val="0"/>
        <w:pageBreakBefore w:val="0"/>
        <w:widowControl w:val="0"/>
        <w:kinsoku/>
        <w:wordWrap/>
        <w:overflowPunct/>
        <w:topLinePunct w:val="0"/>
        <w:autoSpaceDE/>
        <w:autoSpaceDN/>
        <w:bidi w:val="0"/>
        <w:adjustRightInd/>
        <w:snapToGrid w:val="0"/>
        <w:spacing w:after="0" w:line="560" w:lineRule="exact"/>
        <w:ind w:right="0" w:rightChars="0"/>
        <w:jc w:val="both"/>
        <w:textAlignment w:val="auto"/>
        <w:outlineLvl w:val="9"/>
        <w:rPr>
          <w:rFonts w:hint="eastAsia" w:ascii="仿宋" w:hAnsi="仿宋" w:eastAsia="仿宋" w:cs="仿宋"/>
          <w:sz w:val="32"/>
          <w:szCs w:val="32"/>
        </w:rPr>
      </w:pPr>
    </w:p>
    <w:p>
      <w:pPr>
        <w:pStyle w:val="15"/>
        <w:keepNext w:val="0"/>
        <w:keepLines w:val="0"/>
        <w:pageBreakBefore w:val="0"/>
        <w:widowControl w:val="0"/>
        <w:kinsoku/>
        <w:wordWrap/>
        <w:overflowPunct/>
        <w:topLinePunct w:val="0"/>
        <w:autoSpaceDE/>
        <w:autoSpaceDN/>
        <w:bidi w:val="0"/>
        <w:adjustRightInd/>
        <w:snapToGrid w:val="0"/>
        <w:spacing w:after="0" w:line="560" w:lineRule="exact"/>
        <w:ind w:right="0" w:rightChars="0"/>
        <w:jc w:val="both"/>
        <w:textAlignment w:val="auto"/>
        <w:outlineLvl w:val="9"/>
        <w:rPr>
          <w:rFonts w:hint="eastAsia" w:ascii="仿宋" w:hAnsi="仿宋" w:eastAsia="仿宋" w:cs="仿宋"/>
          <w:sz w:val="32"/>
          <w:szCs w:val="32"/>
        </w:rPr>
      </w:pPr>
    </w:p>
    <w:p>
      <w:pPr>
        <w:pStyle w:val="15"/>
        <w:keepNext w:val="0"/>
        <w:keepLines w:val="0"/>
        <w:pageBreakBefore w:val="0"/>
        <w:widowControl w:val="0"/>
        <w:kinsoku/>
        <w:wordWrap/>
        <w:overflowPunct/>
        <w:topLinePunct w:val="0"/>
        <w:autoSpaceDE/>
        <w:autoSpaceDN/>
        <w:bidi w:val="0"/>
        <w:adjustRightInd/>
        <w:snapToGrid w:val="0"/>
        <w:spacing w:after="0" w:line="560" w:lineRule="exact"/>
        <w:ind w:right="0" w:rightChars="0"/>
        <w:jc w:val="both"/>
        <w:textAlignment w:val="auto"/>
        <w:outlineLvl w:val="9"/>
        <w:rPr>
          <w:rFonts w:hint="eastAsia" w:ascii="仿宋" w:hAnsi="仿宋" w:eastAsia="仿宋" w:cs="仿宋"/>
          <w:sz w:val="32"/>
          <w:szCs w:val="32"/>
        </w:rPr>
      </w:pPr>
    </w:p>
    <w:p>
      <w:pPr>
        <w:pStyle w:val="15"/>
        <w:keepNext w:val="0"/>
        <w:keepLines w:val="0"/>
        <w:pageBreakBefore w:val="0"/>
        <w:widowControl w:val="0"/>
        <w:kinsoku/>
        <w:wordWrap/>
        <w:overflowPunct/>
        <w:topLinePunct w:val="0"/>
        <w:autoSpaceDE/>
        <w:autoSpaceDN/>
        <w:bidi w:val="0"/>
        <w:adjustRightInd/>
        <w:snapToGrid w:val="0"/>
        <w:spacing w:after="0" w:line="560" w:lineRule="exact"/>
        <w:ind w:right="0" w:rightChars="0"/>
        <w:jc w:val="both"/>
        <w:textAlignment w:val="auto"/>
        <w:outlineLvl w:val="9"/>
        <w:rPr>
          <w:rFonts w:hint="eastAsia" w:ascii="仿宋" w:hAnsi="仿宋" w:eastAsia="仿宋" w:cs="仿宋"/>
          <w:sz w:val="32"/>
          <w:szCs w:val="32"/>
        </w:rPr>
      </w:pPr>
    </w:p>
    <w:p>
      <w:pPr>
        <w:pStyle w:val="15"/>
        <w:keepNext w:val="0"/>
        <w:keepLines w:val="0"/>
        <w:pageBreakBefore w:val="0"/>
        <w:widowControl w:val="0"/>
        <w:kinsoku/>
        <w:wordWrap/>
        <w:overflowPunct/>
        <w:topLinePunct w:val="0"/>
        <w:autoSpaceDE/>
        <w:autoSpaceDN/>
        <w:bidi w:val="0"/>
        <w:adjustRightInd/>
        <w:snapToGrid w:val="0"/>
        <w:spacing w:after="0" w:line="560" w:lineRule="exact"/>
        <w:ind w:right="0" w:rightChars="0"/>
        <w:jc w:val="both"/>
        <w:textAlignment w:val="auto"/>
        <w:outlineLvl w:val="9"/>
        <w:rPr>
          <w:rFonts w:hint="eastAsia" w:ascii="仿宋" w:hAnsi="仿宋" w:eastAsia="仿宋" w:cs="仿宋"/>
          <w:sz w:val="32"/>
          <w:szCs w:val="32"/>
        </w:rPr>
      </w:pPr>
    </w:p>
    <w:p>
      <w:pPr>
        <w:pStyle w:val="15"/>
        <w:keepNext w:val="0"/>
        <w:keepLines w:val="0"/>
        <w:pageBreakBefore w:val="0"/>
        <w:widowControl w:val="0"/>
        <w:kinsoku/>
        <w:wordWrap/>
        <w:overflowPunct/>
        <w:topLinePunct w:val="0"/>
        <w:autoSpaceDE/>
        <w:autoSpaceDN/>
        <w:bidi w:val="0"/>
        <w:adjustRightInd/>
        <w:snapToGrid w:val="0"/>
        <w:spacing w:after="0" w:line="560" w:lineRule="exact"/>
        <w:ind w:right="0" w:rightChars="0"/>
        <w:jc w:val="both"/>
        <w:textAlignment w:val="auto"/>
        <w:outlineLvl w:val="9"/>
        <w:rPr>
          <w:rFonts w:hint="eastAsia" w:ascii="仿宋" w:hAnsi="仿宋" w:eastAsia="仿宋" w:cs="仿宋"/>
          <w:sz w:val="32"/>
          <w:szCs w:val="32"/>
        </w:rPr>
      </w:pPr>
    </w:p>
    <w:p>
      <w:pPr>
        <w:pStyle w:val="15"/>
        <w:keepNext w:val="0"/>
        <w:keepLines w:val="0"/>
        <w:pageBreakBefore w:val="0"/>
        <w:widowControl w:val="0"/>
        <w:kinsoku/>
        <w:wordWrap/>
        <w:overflowPunct/>
        <w:topLinePunct w:val="0"/>
        <w:autoSpaceDE/>
        <w:autoSpaceDN/>
        <w:bidi w:val="0"/>
        <w:adjustRightInd/>
        <w:snapToGrid w:val="0"/>
        <w:spacing w:after="0" w:line="560" w:lineRule="exact"/>
        <w:ind w:right="0" w:rightChars="0"/>
        <w:jc w:val="both"/>
        <w:textAlignment w:val="auto"/>
        <w:outlineLvl w:val="9"/>
        <w:rPr>
          <w:rFonts w:hint="eastAsia" w:ascii="仿宋" w:hAnsi="仿宋" w:eastAsia="仿宋" w:cs="仿宋"/>
          <w:sz w:val="32"/>
          <w:szCs w:val="32"/>
        </w:rPr>
      </w:pPr>
    </w:p>
    <w:p>
      <w:pPr>
        <w:pStyle w:val="15"/>
        <w:keepNext w:val="0"/>
        <w:keepLines w:val="0"/>
        <w:pageBreakBefore w:val="0"/>
        <w:widowControl w:val="0"/>
        <w:kinsoku/>
        <w:wordWrap/>
        <w:overflowPunct/>
        <w:topLinePunct w:val="0"/>
        <w:autoSpaceDE/>
        <w:autoSpaceDN/>
        <w:bidi w:val="0"/>
        <w:adjustRightInd/>
        <w:snapToGrid w:val="0"/>
        <w:spacing w:after="0" w:line="560" w:lineRule="exact"/>
        <w:ind w:right="0" w:rightChars="0"/>
        <w:jc w:val="both"/>
        <w:textAlignment w:val="auto"/>
        <w:outlineLvl w:val="9"/>
        <w:rPr>
          <w:rFonts w:hint="eastAsia" w:eastAsia="仿宋"/>
          <w:lang w:val="en-US" w:eastAsia="zh-CN"/>
        </w:rPr>
      </w:pPr>
      <w:bookmarkStart w:id="0" w:name="_GoBack"/>
      <w:bookmarkEnd w:id="0"/>
      <w:r>
        <w:rPr>
          <w:rFonts w:hint="eastAsia" w:ascii="仿宋" w:hAnsi="仿宋" w:eastAsia="仿宋" w:cs="仿宋"/>
          <w:sz w:val="32"/>
          <w:szCs w:val="32"/>
        </w:rPr>
        <w:t>抄送：</w:t>
      </w:r>
      <w:r>
        <w:rPr>
          <w:rFonts w:hint="eastAsia" w:ascii="仿宋" w:hAnsi="仿宋" w:eastAsia="仿宋" w:cs="仿宋"/>
          <w:sz w:val="32"/>
          <w:szCs w:val="32"/>
          <w:lang w:eastAsia="zh-CN"/>
        </w:rPr>
        <w:t>连云港市灌南</w:t>
      </w:r>
      <w:r>
        <w:rPr>
          <w:rFonts w:hint="eastAsia" w:ascii="仿宋" w:hAnsi="仿宋" w:eastAsia="仿宋" w:cs="仿宋"/>
          <w:sz w:val="32"/>
          <w:szCs w:val="32"/>
        </w:rPr>
        <w:t>生态环境局，</w:t>
      </w:r>
      <w:r>
        <w:rPr>
          <w:rFonts w:hint="eastAsia" w:ascii="仿宋" w:hAnsi="仿宋" w:eastAsia="仿宋" w:cs="仿宋"/>
          <w:sz w:val="32"/>
          <w:szCs w:val="32"/>
          <w:lang w:val="en-US" w:eastAsia="zh-CN"/>
        </w:rPr>
        <w:t>南京易环环保科技有限公司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upperRoman"/>
      <w:lvlText w:val="%1."/>
      <w:lvlJc w:val="left"/>
      <w:pPr>
        <w:tabs>
          <w:tab w:val="left" w:pos="425"/>
        </w:tabs>
        <w:ind w:left="0" w:firstLine="0"/>
      </w:pPr>
    </w:lvl>
    <w:lvl w:ilvl="1" w:tentative="0">
      <w:start w:val="1"/>
      <w:numFmt w:val="upperLetter"/>
      <w:pStyle w:val="3"/>
      <w:lvlText w:val="%2."/>
      <w:lvlJc w:val="left"/>
      <w:pPr>
        <w:tabs>
          <w:tab w:val="left" w:pos="1276"/>
        </w:tabs>
        <w:ind w:left="851" w:firstLine="0"/>
      </w:pPr>
    </w:lvl>
    <w:lvl w:ilvl="2" w:tentative="0">
      <w:start w:val="1"/>
      <w:numFmt w:val="decimal"/>
      <w:lvlText w:val="%3."/>
      <w:lvlJc w:val="left"/>
      <w:pPr>
        <w:tabs>
          <w:tab w:val="left" w:pos="2126"/>
        </w:tabs>
        <w:ind w:left="1701" w:firstLine="0"/>
      </w:pPr>
    </w:lvl>
    <w:lvl w:ilvl="3" w:tentative="0">
      <w:start w:val="1"/>
      <w:numFmt w:val="lowerLetter"/>
      <w:lvlText w:val="%4)"/>
      <w:lvlJc w:val="left"/>
      <w:pPr>
        <w:tabs>
          <w:tab w:val="left" w:pos="2976"/>
        </w:tabs>
        <w:ind w:left="2551" w:firstLine="0"/>
      </w:pPr>
    </w:lvl>
    <w:lvl w:ilvl="4" w:tentative="0">
      <w:start w:val="1"/>
      <w:numFmt w:val="decimal"/>
      <w:lvlText w:val="(%5)"/>
      <w:lvlJc w:val="left"/>
      <w:pPr>
        <w:tabs>
          <w:tab w:val="left" w:pos="3827"/>
        </w:tabs>
        <w:ind w:left="3402" w:firstLine="0"/>
      </w:pPr>
    </w:lvl>
    <w:lvl w:ilvl="5" w:tentative="0">
      <w:start w:val="1"/>
      <w:numFmt w:val="lowerLetter"/>
      <w:lvlText w:val="(%6)"/>
      <w:lvlJc w:val="left"/>
      <w:pPr>
        <w:tabs>
          <w:tab w:val="left" w:pos="4677"/>
        </w:tabs>
        <w:ind w:left="4252" w:firstLine="0"/>
      </w:pPr>
    </w:lvl>
    <w:lvl w:ilvl="6" w:tentative="0">
      <w:start w:val="1"/>
      <w:numFmt w:val="lowerRoman"/>
      <w:lvlText w:val="(%7)"/>
      <w:lvlJc w:val="left"/>
      <w:pPr>
        <w:tabs>
          <w:tab w:val="left" w:pos="5528"/>
        </w:tabs>
        <w:ind w:left="5102" w:firstLine="0"/>
      </w:pPr>
    </w:lvl>
    <w:lvl w:ilvl="7" w:tentative="0">
      <w:start w:val="1"/>
      <w:numFmt w:val="lowerLetter"/>
      <w:lvlText w:val="(%8)"/>
      <w:lvlJc w:val="left"/>
      <w:pPr>
        <w:tabs>
          <w:tab w:val="left" w:pos="6378"/>
        </w:tabs>
        <w:ind w:left="5953" w:firstLine="0"/>
      </w:pPr>
    </w:lvl>
    <w:lvl w:ilvl="8" w:tentative="0">
      <w:start w:val="1"/>
      <w:numFmt w:val="lowerRoman"/>
      <w:lvlText w:val="(%9)"/>
      <w:lvlJc w:val="left"/>
      <w:pPr>
        <w:tabs>
          <w:tab w:val="left" w:pos="7228"/>
        </w:tabs>
        <w:ind w:left="6803"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4F4740"/>
    <w:rsid w:val="00363644"/>
    <w:rsid w:val="00524238"/>
    <w:rsid w:val="00A46742"/>
    <w:rsid w:val="00E30277"/>
    <w:rsid w:val="013F0CD6"/>
    <w:rsid w:val="01466A8A"/>
    <w:rsid w:val="018A233D"/>
    <w:rsid w:val="01A968E7"/>
    <w:rsid w:val="01AF2262"/>
    <w:rsid w:val="01AF7CB8"/>
    <w:rsid w:val="02344AEC"/>
    <w:rsid w:val="02680F14"/>
    <w:rsid w:val="028F2681"/>
    <w:rsid w:val="02DD3F24"/>
    <w:rsid w:val="035F4A16"/>
    <w:rsid w:val="03667738"/>
    <w:rsid w:val="03732DDB"/>
    <w:rsid w:val="03825526"/>
    <w:rsid w:val="03851164"/>
    <w:rsid w:val="03CA1C1F"/>
    <w:rsid w:val="03F95BC6"/>
    <w:rsid w:val="0473245D"/>
    <w:rsid w:val="049C79E9"/>
    <w:rsid w:val="04B4640C"/>
    <w:rsid w:val="051977C7"/>
    <w:rsid w:val="053F2FB1"/>
    <w:rsid w:val="055943B6"/>
    <w:rsid w:val="055B71FC"/>
    <w:rsid w:val="06A87B94"/>
    <w:rsid w:val="07363495"/>
    <w:rsid w:val="073C12EE"/>
    <w:rsid w:val="079121D0"/>
    <w:rsid w:val="07BA1EDD"/>
    <w:rsid w:val="08045298"/>
    <w:rsid w:val="081A4CDE"/>
    <w:rsid w:val="08321348"/>
    <w:rsid w:val="08C02C84"/>
    <w:rsid w:val="099250F6"/>
    <w:rsid w:val="0A860529"/>
    <w:rsid w:val="0AB90EF3"/>
    <w:rsid w:val="0AD0191F"/>
    <w:rsid w:val="0B415A95"/>
    <w:rsid w:val="0BB2389B"/>
    <w:rsid w:val="0C9250D3"/>
    <w:rsid w:val="0CED5FCA"/>
    <w:rsid w:val="0D3905A1"/>
    <w:rsid w:val="0E5A77E0"/>
    <w:rsid w:val="0EAE2D68"/>
    <w:rsid w:val="0EBB6FB3"/>
    <w:rsid w:val="0ECD282E"/>
    <w:rsid w:val="11141C51"/>
    <w:rsid w:val="11457F12"/>
    <w:rsid w:val="1208657B"/>
    <w:rsid w:val="12E542C1"/>
    <w:rsid w:val="13322A21"/>
    <w:rsid w:val="136503FE"/>
    <w:rsid w:val="141556F9"/>
    <w:rsid w:val="144B381B"/>
    <w:rsid w:val="1456024C"/>
    <w:rsid w:val="14BF70DA"/>
    <w:rsid w:val="158046FF"/>
    <w:rsid w:val="15877FEA"/>
    <w:rsid w:val="15EC5027"/>
    <w:rsid w:val="15F35A6F"/>
    <w:rsid w:val="161A2DA0"/>
    <w:rsid w:val="16714F6A"/>
    <w:rsid w:val="167B3494"/>
    <w:rsid w:val="17B74569"/>
    <w:rsid w:val="17FA16BD"/>
    <w:rsid w:val="187F6390"/>
    <w:rsid w:val="18843076"/>
    <w:rsid w:val="18D819B4"/>
    <w:rsid w:val="18F04CFF"/>
    <w:rsid w:val="1A3707A7"/>
    <w:rsid w:val="1A42330A"/>
    <w:rsid w:val="1A764506"/>
    <w:rsid w:val="1A7F1299"/>
    <w:rsid w:val="1B272310"/>
    <w:rsid w:val="1B4A1DA3"/>
    <w:rsid w:val="1C241F47"/>
    <w:rsid w:val="1C39358E"/>
    <w:rsid w:val="1C9622D7"/>
    <w:rsid w:val="1CF1400B"/>
    <w:rsid w:val="1E3B31C0"/>
    <w:rsid w:val="1F4F4740"/>
    <w:rsid w:val="20D342FC"/>
    <w:rsid w:val="2134424C"/>
    <w:rsid w:val="214D47B7"/>
    <w:rsid w:val="22832A52"/>
    <w:rsid w:val="22E37105"/>
    <w:rsid w:val="23611608"/>
    <w:rsid w:val="24741645"/>
    <w:rsid w:val="24847F88"/>
    <w:rsid w:val="248647F9"/>
    <w:rsid w:val="24F95314"/>
    <w:rsid w:val="250369C2"/>
    <w:rsid w:val="25430E6B"/>
    <w:rsid w:val="25535177"/>
    <w:rsid w:val="25D6404D"/>
    <w:rsid w:val="263D2A6D"/>
    <w:rsid w:val="27347B3D"/>
    <w:rsid w:val="276B5AE7"/>
    <w:rsid w:val="27F02AA7"/>
    <w:rsid w:val="27F15C47"/>
    <w:rsid w:val="28485269"/>
    <w:rsid w:val="28944F16"/>
    <w:rsid w:val="289E7DF3"/>
    <w:rsid w:val="293A24E4"/>
    <w:rsid w:val="2A0C3177"/>
    <w:rsid w:val="2A24087B"/>
    <w:rsid w:val="2A277F08"/>
    <w:rsid w:val="2A896348"/>
    <w:rsid w:val="2AAA33DB"/>
    <w:rsid w:val="2AF15D0F"/>
    <w:rsid w:val="2B266F1F"/>
    <w:rsid w:val="2B272C3C"/>
    <w:rsid w:val="2B6365F3"/>
    <w:rsid w:val="2B6F5EC6"/>
    <w:rsid w:val="2BCB3118"/>
    <w:rsid w:val="2BFD7D16"/>
    <w:rsid w:val="2C137051"/>
    <w:rsid w:val="2C1939AE"/>
    <w:rsid w:val="2C1C1193"/>
    <w:rsid w:val="2C305E7D"/>
    <w:rsid w:val="2D3F6AA1"/>
    <w:rsid w:val="2D80162B"/>
    <w:rsid w:val="2E004FD8"/>
    <w:rsid w:val="2E540CA9"/>
    <w:rsid w:val="2E7D6A05"/>
    <w:rsid w:val="2F6E35DB"/>
    <w:rsid w:val="2F901567"/>
    <w:rsid w:val="306E06EE"/>
    <w:rsid w:val="30B86315"/>
    <w:rsid w:val="30DC23AC"/>
    <w:rsid w:val="317018AE"/>
    <w:rsid w:val="31A5444E"/>
    <w:rsid w:val="329B23C0"/>
    <w:rsid w:val="341B622D"/>
    <w:rsid w:val="347D64DE"/>
    <w:rsid w:val="355D70DE"/>
    <w:rsid w:val="35CE4888"/>
    <w:rsid w:val="35CF17B6"/>
    <w:rsid w:val="36153716"/>
    <w:rsid w:val="361A5543"/>
    <w:rsid w:val="361E7FF0"/>
    <w:rsid w:val="3696618B"/>
    <w:rsid w:val="36AF4936"/>
    <w:rsid w:val="37387DAA"/>
    <w:rsid w:val="37466F6B"/>
    <w:rsid w:val="375026BD"/>
    <w:rsid w:val="37F77F3A"/>
    <w:rsid w:val="38035724"/>
    <w:rsid w:val="38C35D3F"/>
    <w:rsid w:val="39204E4C"/>
    <w:rsid w:val="3921028B"/>
    <w:rsid w:val="397E22FF"/>
    <w:rsid w:val="3A503557"/>
    <w:rsid w:val="3B183964"/>
    <w:rsid w:val="3B25487E"/>
    <w:rsid w:val="3BBB462C"/>
    <w:rsid w:val="3BFE4B3C"/>
    <w:rsid w:val="3D374286"/>
    <w:rsid w:val="3D83113C"/>
    <w:rsid w:val="3DD20B15"/>
    <w:rsid w:val="3E7958EA"/>
    <w:rsid w:val="3F223A94"/>
    <w:rsid w:val="3FA72CC3"/>
    <w:rsid w:val="3FBA1E1A"/>
    <w:rsid w:val="403D7C20"/>
    <w:rsid w:val="40665FF8"/>
    <w:rsid w:val="40E27BDC"/>
    <w:rsid w:val="41694325"/>
    <w:rsid w:val="424726BD"/>
    <w:rsid w:val="43421034"/>
    <w:rsid w:val="43506C3C"/>
    <w:rsid w:val="435C24A3"/>
    <w:rsid w:val="4391693F"/>
    <w:rsid w:val="43D80256"/>
    <w:rsid w:val="43F95F18"/>
    <w:rsid w:val="44722C70"/>
    <w:rsid w:val="450D05FF"/>
    <w:rsid w:val="456F1EF2"/>
    <w:rsid w:val="463E5750"/>
    <w:rsid w:val="466B3631"/>
    <w:rsid w:val="46A731BB"/>
    <w:rsid w:val="473046E0"/>
    <w:rsid w:val="479D4BDC"/>
    <w:rsid w:val="485A10C8"/>
    <w:rsid w:val="48A46167"/>
    <w:rsid w:val="49035926"/>
    <w:rsid w:val="4A4B5A8C"/>
    <w:rsid w:val="4AAF1EE0"/>
    <w:rsid w:val="4B296C1A"/>
    <w:rsid w:val="4B474DA2"/>
    <w:rsid w:val="4D165E3D"/>
    <w:rsid w:val="4F5C70A1"/>
    <w:rsid w:val="4F783361"/>
    <w:rsid w:val="4F7923BB"/>
    <w:rsid w:val="4FA45538"/>
    <w:rsid w:val="4FBC093C"/>
    <w:rsid w:val="4FD23CEA"/>
    <w:rsid w:val="505A3E33"/>
    <w:rsid w:val="512142BA"/>
    <w:rsid w:val="51323903"/>
    <w:rsid w:val="51573B1A"/>
    <w:rsid w:val="51C31E8A"/>
    <w:rsid w:val="542C288D"/>
    <w:rsid w:val="547249FE"/>
    <w:rsid w:val="54A24F49"/>
    <w:rsid w:val="54D8354F"/>
    <w:rsid w:val="54FD1CBC"/>
    <w:rsid w:val="555A15F1"/>
    <w:rsid w:val="55D14362"/>
    <w:rsid w:val="56705CA4"/>
    <w:rsid w:val="57DA0F3E"/>
    <w:rsid w:val="57ED6BED"/>
    <w:rsid w:val="58047285"/>
    <w:rsid w:val="59073EC2"/>
    <w:rsid w:val="5A061D04"/>
    <w:rsid w:val="5A576407"/>
    <w:rsid w:val="5A5D5B81"/>
    <w:rsid w:val="5A623C57"/>
    <w:rsid w:val="5B114526"/>
    <w:rsid w:val="5B784896"/>
    <w:rsid w:val="5BA46D80"/>
    <w:rsid w:val="5D2318D6"/>
    <w:rsid w:val="5E4A6155"/>
    <w:rsid w:val="5E5A03C8"/>
    <w:rsid w:val="5EC562B8"/>
    <w:rsid w:val="5F465EA7"/>
    <w:rsid w:val="5FEE1DBB"/>
    <w:rsid w:val="606A7876"/>
    <w:rsid w:val="606C610F"/>
    <w:rsid w:val="60A76F1E"/>
    <w:rsid w:val="6148375A"/>
    <w:rsid w:val="61964207"/>
    <w:rsid w:val="6207737D"/>
    <w:rsid w:val="632A5C41"/>
    <w:rsid w:val="63450CE0"/>
    <w:rsid w:val="63625748"/>
    <w:rsid w:val="63695719"/>
    <w:rsid w:val="641E0FD2"/>
    <w:rsid w:val="645C54B5"/>
    <w:rsid w:val="6498685C"/>
    <w:rsid w:val="652D4717"/>
    <w:rsid w:val="65DB3C04"/>
    <w:rsid w:val="669A436D"/>
    <w:rsid w:val="66EE2771"/>
    <w:rsid w:val="673B6F5C"/>
    <w:rsid w:val="674A6D69"/>
    <w:rsid w:val="67D66480"/>
    <w:rsid w:val="682353E6"/>
    <w:rsid w:val="682E0824"/>
    <w:rsid w:val="688336A3"/>
    <w:rsid w:val="694C3442"/>
    <w:rsid w:val="6969093A"/>
    <w:rsid w:val="6AD01F52"/>
    <w:rsid w:val="6B1A7362"/>
    <w:rsid w:val="6B442A05"/>
    <w:rsid w:val="6B622380"/>
    <w:rsid w:val="6B845682"/>
    <w:rsid w:val="6B9C07E9"/>
    <w:rsid w:val="6BB16976"/>
    <w:rsid w:val="6C3A45BB"/>
    <w:rsid w:val="6C852197"/>
    <w:rsid w:val="6C92715C"/>
    <w:rsid w:val="6D682BE6"/>
    <w:rsid w:val="6DC03D90"/>
    <w:rsid w:val="6E325558"/>
    <w:rsid w:val="6E5148F5"/>
    <w:rsid w:val="6E525858"/>
    <w:rsid w:val="6E555E47"/>
    <w:rsid w:val="6F5C1F9F"/>
    <w:rsid w:val="6F99711D"/>
    <w:rsid w:val="6FE62526"/>
    <w:rsid w:val="6FEA3D56"/>
    <w:rsid w:val="702227FA"/>
    <w:rsid w:val="70880E55"/>
    <w:rsid w:val="70992AD8"/>
    <w:rsid w:val="71473150"/>
    <w:rsid w:val="71A267D7"/>
    <w:rsid w:val="72031FBB"/>
    <w:rsid w:val="72E2458E"/>
    <w:rsid w:val="72E42FC5"/>
    <w:rsid w:val="73D303BB"/>
    <w:rsid w:val="73DD69D1"/>
    <w:rsid w:val="743D644A"/>
    <w:rsid w:val="749B62FA"/>
    <w:rsid w:val="749C020A"/>
    <w:rsid w:val="74FC6453"/>
    <w:rsid w:val="76112F9A"/>
    <w:rsid w:val="76DF44C9"/>
    <w:rsid w:val="77A02FBD"/>
    <w:rsid w:val="77C812D1"/>
    <w:rsid w:val="781E1591"/>
    <w:rsid w:val="785B6DE7"/>
    <w:rsid w:val="789E511B"/>
    <w:rsid w:val="78C64ABF"/>
    <w:rsid w:val="79946CAB"/>
    <w:rsid w:val="79A92B94"/>
    <w:rsid w:val="7A0F4782"/>
    <w:rsid w:val="7A322657"/>
    <w:rsid w:val="7A520BCF"/>
    <w:rsid w:val="7A98211B"/>
    <w:rsid w:val="7AA14BB0"/>
    <w:rsid w:val="7AD40065"/>
    <w:rsid w:val="7B2D6689"/>
    <w:rsid w:val="7C672A1A"/>
    <w:rsid w:val="7C844567"/>
    <w:rsid w:val="7CEC30CA"/>
    <w:rsid w:val="7D053444"/>
    <w:rsid w:val="7D4A3D26"/>
    <w:rsid w:val="7D712FE0"/>
    <w:rsid w:val="7DBA7591"/>
    <w:rsid w:val="7DE023D3"/>
    <w:rsid w:val="7DFE03D1"/>
    <w:rsid w:val="7E0A6D4F"/>
    <w:rsid w:val="7EF15CA3"/>
    <w:rsid w:val="7EF638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kern w:val="0"/>
      <w:sz w:val="22"/>
      <w:szCs w:val="22"/>
      <w:lang w:val="en-US" w:eastAsia="zh-CN" w:bidi="ar-SA"/>
    </w:rPr>
  </w:style>
  <w:style w:type="paragraph" w:styleId="3">
    <w:name w:val="heading 2"/>
    <w:basedOn w:val="1"/>
    <w:next w:val="1"/>
    <w:qFormat/>
    <w:uiPriority w:val="0"/>
    <w:pPr>
      <w:keepNext/>
      <w:keepLines/>
      <w:numPr>
        <w:ilvl w:val="1"/>
        <w:numId w:val="1"/>
      </w:numPr>
      <w:adjustRightInd w:val="0"/>
      <w:spacing w:before="100" w:after="100" w:line="360" w:lineRule="auto"/>
      <w:jc w:val="left"/>
      <w:textAlignment w:val="baseline"/>
      <w:outlineLvl w:val="1"/>
    </w:pPr>
    <w:rPr>
      <w:rFonts w:ascii="Arial" w:hAnsi="Arial" w:eastAsia="黑体"/>
      <w:b/>
      <w:sz w:val="28"/>
    </w:rPr>
  </w:style>
  <w:style w:type="paragraph" w:styleId="4">
    <w:name w:val="heading 3"/>
    <w:basedOn w:val="1"/>
    <w:next w:val="1"/>
    <w:qFormat/>
    <w:uiPriority w:val="0"/>
    <w:pPr>
      <w:keepNext/>
      <w:keepLines/>
      <w:spacing w:before="260" w:after="260" w:line="360" w:lineRule="auto"/>
      <w:outlineLvl w:val="2"/>
    </w:pPr>
    <w:rPr>
      <w:rFonts w:eastAsia="黑体"/>
      <w:bCs/>
      <w:sz w:val="28"/>
      <w:szCs w:val="32"/>
    </w:rPr>
  </w:style>
  <w:style w:type="paragraph" w:styleId="5">
    <w:name w:val="heading 4"/>
    <w:basedOn w:val="1"/>
    <w:next w:val="1"/>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39"/>
    <w:pPr>
      <w:ind w:left="210"/>
      <w:jc w:val="left"/>
    </w:pPr>
    <w:rPr>
      <w:smallCaps/>
      <w:sz w:val="20"/>
      <w:szCs w:val="20"/>
    </w:rPr>
  </w:style>
  <w:style w:type="paragraph" w:styleId="6">
    <w:name w:val="Plain Text"/>
    <w:basedOn w:val="1"/>
    <w:qFormat/>
    <w:uiPriority w:val="0"/>
    <w:rPr>
      <w:rFonts w:ascii="宋体" w:hAnsi="Courier New" w:eastAsia="宋体" w:cs="Courier New"/>
      <w:sz w:val="21"/>
      <w:szCs w:val="21"/>
    </w:rPr>
  </w:style>
  <w:style w:type="paragraph" w:styleId="7">
    <w:name w:val="Body Text Indent 2"/>
    <w:basedOn w:val="1"/>
    <w:qFormat/>
    <w:uiPriority w:val="0"/>
    <w:pPr>
      <w:spacing w:line="600" w:lineRule="exact"/>
      <w:ind w:firstLine="645"/>
    </w:pPr>
    <w:rPr>
      <w:rFonts w:ascii="仿宋_GB2312" w:eastAsia="仿宋_GB2312"/>
      <w:sz w:val="28"/>
      <w:szCs w:val="20"/>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index heading"/>
    <w:basedOn w:val="1"/>
    <w:next w:val="11"/>
    <w:semiHidden/>
    <w:qFormat/>
    <w:uiPriority w:val="0"/>
    <w:rPr>
      <w:rFonts w:ascii="Arial" w:hAnsi="Arial"/>
      <w:b/>
      <w:bCs/>
    </w:rPr>
  </w:style>
  <w:style w:type="paragraph" w:styleId="11">
    <w:name w:val="index 1"/>
    <w:basedOn w:val="1"/>
    <w:next w:val="1"/>
    <w:semiHidden/>
    <w:qFormat/>
    <w:uiPriority w:val="0"/>
  </w:style>
  <w:style w:type="character" w:styleId="14">
    <w:name w:val="page number"/>
    <w:basedOn w:val="13"/>
    <w:qFormat/>
    <w:uiPriority w:val="0"/>
  </w:style>
  <w:style w:type="paragraph" w:customStyle="1" w:styleId="15">
    <w:name w:val="表格填充1"/>
    <w:basedOn w:val="6"/>
    <w:qFormat/>
    <w:uiPriority w:val="0"/>
    <w:pPr>
      <w:widowControl w:val="0"/>
      <w:adjustRightInd/>
      <w:spacing w:after="0"/>
      <w:jc w:val="both"/>
    </w:pPr>
    <w:rPr>
      <w:rFonts w:ascii="Times New Roman" w:hAnsi="Times New Roman" w:cs="Times New Roman"/>
      <w:snapToGrid w:val="0"/>
      <w:kern w:val="2"/>
      <w:sz w:val="28"/>
      <w:szCs w:val="20"/>
    </w:rPr>
  </w:style>
  <w:style w:type="paragraph" w:customStyle="1" w:styleId="16">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7">
    <w:name w:val="标号正文"/>
    <w:basedOn w:val="1"/>
    <w:next w:val="1"/>
    <w:qFormat/>
    <w:uiPriority w:val="0"/>
    <w:pPr>
      <w:tabs>
        <w:tab w:val="left" w:pos="1540"/>
      </w:tabs>
      <w:overflowPunct w:val="0"/>
      <w:snapToGrid w:val="0"/>
      <w:spacing w:line="360" w:lineRule="auto"/>
      <w:ind w:firstLine="1040"/>
      <w:jc w:val="left"/>
    </w:pPr>
    <w:rPr>
      <w:rFonts w:ascii="Arial" w:hAnsi="Arial"/>
      <w:sz w:val="24"/>
      <w:szCs w:val="20"/>
    </w:rPr>
  </w:style>
  <w:style w:type="paragraph" w:customStyle="1" w:styleId="18">
    <w:name w:val="paragraph text-align-type-justify pap-line-28pt pap-line-rule-exact pap-spacing-before-0pt pap-spacing-after-0pt pap-firstline-indent-2em"/>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2018-04-24T02:22:00Z</dcterms:created>
  <dc:creator>Administrator</dc:creator>
  <cp:lastModifiedBy>吴小妞</cp:lastModifiedBy>
  <cp:lastPrinted>2020-04-17T07:10:00Z</cp:lastPrinted>
  <dcterms:modified xsi:type="dcterms:W3CDTF">2020-09-16T02:16:42Z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