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F6" w:rsidRDefault="00543B39">
      <w:pPr>
        <w:pStyle w:val="a3"/>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灌南县</w:t>
      </w:r>
      <w:r w:rsidR="002C3AF6" w:rsidRPr="002C3AF6">
        <w:rPr>
          <w:rFonts w:ascii="Times New Roman" w:eastAsia="方正小标宋简体" w:hAnsi="Times New Roman" w:cs="Times New Roman"/>
          <w:sz w:val="44"/>
          <w:szCs w:val="44"/>
        </w:rPr>
        <w:t>养老服务领域基层政务</w:t>
      </w:r>
      <w:r w:rsidR="000121C1" w:rsidRPr="000121C1">
        <w:rPr>
          <w:rFonts w:ascii="Times New Roman" w:eastAsia="方正小标宋简体" w:hAnsi="Times New Roman" w:cs="Times New Roman"/>
          <w:sz w:val="44"/>
          <w:szCs w:val="44"/>
        </w:rPr>
        <w:t>公开目录（试行）</w:t>
      </w:r>
      <w:bookmarkStart w:id="0" w:name="_GoBack"/>
      <w:bookmarkEnd w:id="0"/>
    </w:p>
    <w:p w:rsidR="001E7034" w:rsidRPr="001E7034" w:rsidRDefault="001E7034">
      <w:pPr>
        <w:pStyle w:val="a3"/>
        <w:jc w:val="center"/>
        <w:rPr>
          <w:rFonts w:ascii="Times New Roman" w:eastAsia="方正小标宋简体" w:hAnsi="Times New Roman" w:cs="Times New Roman"/>
          <w:sz w:val="44"/>
          <w:szCs w:val="44"/>
        </w:rPr>
      </w:pPr>
    </w:p>
    <w:tbl>
      <w:tblPr>
        <w:tblW w:w="13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5"/>
        <w:gridCol w:w="1011"/>
        <w:gridCol w:w="997"/>
        <w:gridCol w:w="3323"/>
        <w:gridCol w:w="2064"/>
        <w:gridCol w:w="992"/>
        <w:gridCol w:w="850"/>
        <w:gridCol w:w="575"/>
        <w:gridCol w:w="701"/>
        <w:gridCol w:w="709"/>
        <w:gridCol w:w="714"/>
        <w:gridCol w:w="1211"/>
      </w:tblGrid>
      <w:tr w:rsidR="00651012" w:rsidRPr="002C3AF6" w:rsidTr="000121C1">
        <w:trPr>
          <w:jc w:val="center"/>
        </w:trPr>
        <w:tc>
          <w:tcPr>
            <w:tcW w:w="515" w:type="dxa"/>
            <w:vMerge w:val="restart"/>
            <w:vAlign w:val="center"/>
          </w:tcPr>
          <w:p w:rsidR="00651012" w:rsidRPr="002C3AF6" w:rsidRDefault="00651012" w:rsidP="00651012">
            <w:pPr>
              <w:pStyle w:val="TableParagraph"/>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序号</w:t>
            </w:r>
          </w:p>
        </w:tc>
        <w:tc>
          <w:tcPr>
            <w:tcW w:w="2008" w:type="dxa"/>
            <w:gridSpan w:val="2"/>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公开事项</w:t>
            </w:r>
          </w:p>
        </w:tc>
        <w:tc>
          <w:tcPr>
            <w:tcW w:w="3323" w:type="dxa"/>
            <w:vMerge w:val="restart"/>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公开内容（要素）</w:t>
            </w:r>
          </w:p>
        </w:tc>
        <w:tc>
          <w:tcPr>
            <w:tcW w:w="2064" w:type="dxa"/>
            <w:vMerge w:val="restart"/>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公开依据</w:t>
            </w:r>
          </w:p>
        </w:tc>
        <w:tc>
          <w:tcPr>
            <w:tcW w:w="992" w:type="dxa"/>
            <w:vMerge w:val="restart"/>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公开时限</w:t>
            </w:r>
          </w:p>
        </w:tc>
        <w:tc>
          <w:tcPr>
            <w:tcW w:w="850" w:type="dxa"/>
            <w:vMerge w:val="restart"/>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w:t>
            </w:r>
          </w:p>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主体</w:t>
            </w:r>
          </w:p>
        </w:tc>
        <w:tc>
          <w:tcPr>
            <w:tcW w:w="1276" w:type="dxa"/>
            <w:gridSpan w:val="2"/>
            <w:vAlign w:val="center"/>
          </w:tcPr>
          <w:p w:rsidR="00651012" w:rsidRPr="002C3AF6" w:rsidRDefault="00651012" w:rsidP="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公开对象</w:t>
            </w:r>
          </w:p>
        </w:tc>
        <w:tc>
          <w:tcPr>
            <w:tcW w:w="1423" w:type="dxa"/>
            <w:gridSpan w:val="2"/>
            <w:vAlign w:val="center"/>
          </w:tcPr>
          <w:p w:rsidR="00651012" w:rsidRPr="002C3AF6" w:rsidRDefault="00651012" w:rsidP="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公开方式</w:t>
            </w:r>
          </w:p>
        </w:tc>
        <w:tc>
          <w:tcPr>
            <w:tcW w:w="1211" w:type="dxa"/>
            <w:vMerge w:val="restart"/>
            <w:vAlign w:val="center"/>
          </w:tcPr>
          <w:p w:rsidR="00651012" w:rsidRPr="002C3AF6" w:rsidRDefault="00651012" w:rsidP="00651012">
            <w:pPr>
              <w:pStyle w:val="TableParagraph"/>
              <w:jc w:val="center"/>
              <w:rPr>
                <w:rFonts w:ascii="Times New Roman" w:eastAsia="黑体" w:hAnsi="黑体" w:cs="Times New Roman"/>
                <w:sz w:val="21"/>
                <w:szCs w:val="21"/>
              </w:rPr>
            </w:pPr>
            <w:r w:rsidRPr="002C3AF6">
              <w:rPr>
                <w:rFonts w:ascii="Times New Roman" w:eastAsia="黑体" w:hAnsi="黑体" w:cs="Times New Roman"/>
                <w:sz w:val="21"/>
                <w:szCs w:val="21"/>
              </w:rPr>
              <w:t>公开渠道</w:t>
            </w:r>
          </w:p>
        </w:tc>
      </w:tr>
      <w:tr w:rsidR="00651012" w:rsidRPr="002C3AF6" w:rsidTr="000121C1">
        <w:trPr>
          <w:jc w:val="center"/>
        </w:trPr>
        <w:tc>
          <w:tcPr>
            <w:tcW w:w="515" w:type="dxa"/>
            <w:vMerge/>
            <w:tcBorders>
              <w:top w:val="nil"/>
            </w:tcBorders>
            <w:vAlign w:val="center"/>
          </w:tcPr>
          <w:p w:rsidR="00651012" w:rsidRPr="002C3AF6" w:rsidRDefault="00651012" w:rsidP="00651012">
            <w:pPr>
              <w:jc w:val="center"/>
              <w:rPr>
                <w:rFonts w:ascii="Times New Roman" w:eastAsia="黑体" w:hAnsi="Times New Roman" w:cs="Times New Roman"/>
                <w:sz w:val="21"/>
                <w:szCs w:val="21"/>
              </w:rPr>
            </w:pPr>
          </w:p>
        </w:tc>
        <w:tc>
          <w:tcPr>
            <w:tcW w:w="1011" w:type="dxa"/>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一级事项</w:t>
            </w:r>
          </w:p>
        </w:tc>
        <w:tc>
          <w:tcPr>
            <w:tcW w:w="997" w:type="dxa"/>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二级事项</w:t>
            </w:r>
          </w:p>
        </w:tc>
        <w:tc>
          <w:tcPr>
            <w:tcW w:w="3323" w:type="dxa"/>
            <w:vMerge/>
            <w:tcBorders>
              <w:top w:val="nil"/>
            </w:tcBorders>
            <w:vAlign w:val="center"/>
          </w:tcPr>
          <w:p w:rsidR="00651012" w:rsidRPr="002C3AF6" w:rsidRDefault="00651012">
            <w:pPr>
              <w:jc w:val="center"/>
              <w:rPr>
                <w:rFonts w:ascii="Times New Roman" w:eastAsia="黑体" w:hAnsi="Times New Roman" w:cs="Times New Roman"/>
                <w:sz w:val="21"/>
                <w:szCs w:val="21"/>
              </w:rPr>
            </w:pPr>
          </w:p>
        </w:tc>
        <w:tc>
          <w:tcPr>
            <w:tcW w:w="2064" w:type="dxa"/>
            <w:vMerge/>
            <w:tcBorders>
              <w:top w:val="nil"/>
            </w:tcBorders>
            <w:vAlign w:val="center"/>
          </w:tcPr>
          <w:p w:rsidR="00651012" w:rsidRPr="002C3AF6" w:rsidRDefault="00651012">
            <w:pPr>
              <w:jc w:val="center"/>
              <w:rPr>
                <w:rFonts w:ascii="Times New Roman" w:eastAsia="黑体" w:hAnsi="Times New Roman" w:cs="Times New Roman"/>
                <w:sz w:val="21"/>
                <w:szCs w:val="21"/>
              </w:rPr>
            </w:pPr>
          </w:p>
        </w:tc>
        <w:tc>
          <w:tcPr>
            <w:tcW w:w="992" w:type="dxa"/>
            <w:vMerge/>
            <w:tcBorders>
              <w:top w:val="nil"/>
            </w:tcBorders>
            <w:vAlign w:val="center"/>
          </w:tcPr>
          <w:p w:rsidR="00651012" w:rsidRPr="002C3AF6" w:rsidRDefault="00651012">
            <w:pPr>
              <w:jc w:val="center"/>
              <w:rPr>
                <w:rFonts w:ascii="Times New Roman" w:eastAsia="黑体" w:hAnsi="Times New Roman" w:cs="Times New Roman"/>
                <w:sz w:val="21"/>
                <w:szCs w:val="21"/>
              </w:rPr>
            </w:pPr>
          </w:p>
        </w:tc>
        <w:tc>
          <w:tcPr>
            <w:tcW w:w="850" w:type="dxa"/>
            <w:vMerge/>
            <w:tcBorders>
              <w:top w:val="nil"/>
            </w:tcBorders>
            <w:vAlign w:val="center"/>
          </w:tcPr>
          <w:p w:rsidR="00651012" w:rsidRPr="002C3AF6" w:rsidRDefault="00651012">
            <w:pPr>
              <w:jc w:val="center"/>
              <w:rPr>
                <w:rFonts w:ascii="Times New Roman" w:eastAsia="黑体" w:hAnsi="Times New Roman" w:cs="Times New Roman"/>
                <w:sz w:val="21"/>
                <w:szCs w:val="21"/>
              </w:rPr>
            </w:pPr>
          </w:p>
        </w:tc>
        <w:tc>
          <w:tcPr>
            <w:tcW w:w="575" w:type="dxa"/>
            <w:vAlign w:val="center"/>
          </w:tcPr>
          <w:p w:rsidR="00651012" w:rsidRPr="002C3AF6" w:rsidRDefault="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全社会</w:t>
            </w:r>
          </w:p>
        </w:tc>
        <w:tc>
          <w:tcPr>
            <w:tcW w:w="701" w:type="dxa"/>
            <w:vAlign w:val="center"/>
          </w:tcPr>
          <w:p w:rsidR="00651012" w:rsidRPr="002C3AF6" w:rsidRDefault="00651012" w:rsidP="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特定群众</w:t>
            </w:r>
          </w:p>
        </w:tc>
        <w:tc>
          <w:tcPr>
            <w:tcW w:w="709" w:type="dxa"/>
            <w:vAlign w:val="center"/>
          </w:tcPr>
          <w:p w:rsidR="000121C1" w:rsidRDefault="00651012" w:rsidP="00651012">
            <w:pPr>
              <w:pStyle w:val="TableParagraph"/>
              <w:jc w:val="center"/>
              <w:rPr>
                <w:rFonts w:ascii="Times New Roman" w:eastAsia="黑体" w:hAnsi="黑体" w:cs="Times New Roman" w:hint="eastAsia"/>
                <w:sz w:val="21"/>
                <w:szCs w:val="21"/>
              </w:rPr>
            </w:pPr>
            <w:r w:rsidRPr="002C3AF6">
              <w:rPr>
                <w:rFonts w:ascii="Times New Roman" w:eastAsia="黑体" w:hAnsi="黑体" w:cs="Times New Roman"/>
                <w:sz w:val="21"/>
                <w:szCs w:val="21"/>
              </w:rPr>
              <w:t>主动</w:t>
            </w:r>
          </w:p>
          <w:p w:rsidR="00651012" w:rsidRPr="002C3AF6" w:rsidRDefault="000121C1" w:rsidP="00651012">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公开</w:t>
            </w:r>
          </w:p>
        </w:tc>
        <w:tc>
          <w:tcPr>
            <w:tcW w:w="714" w:type="dxa"/>
            <w:vAlign w:val="center"/>
          </w:tcPr>
          <w:p w:rsidR="00651012" w:rsidRPr="002C3AF6" w:rsidRDefault="00651012" w:rsidP="000121C1">
            <w:pPr>
              <w:pStyle w:val="TableParagraph"/>
              <w:jc w:val="center"/>
              <w:rPr>
                <w:rFonts w:ascii="Times New Roman" w:eastAsia="黑体" w:hAnsi="Times New Roman" w:cs="Times New Roman"/>
                <w:sz w:val="21"/>
                <w:szCs w:val="21"/>
              </w:rPr>
            </w:pPr>
            <w:r w:rsidRPr="002C3AF6">
              <w:rPr>
                <w:rFonts w:ascii="Times New Roman" w:eastAsia="黑体" w:hAnsi="黑体" w:cs="Times New Roman"/>
                <w:sz w:val="21"/>
                <w:szCs w:val="21"/>
              </w:rPr>
              <w:t>依申请</w:t>
            </w:r>
          </w:p>
        </w:tc>
        <w:tc>
          <w:tcPr>
            <w:tcW w:w="1211" w:type="dxa"/>
            <w:vMerge/>
            <w:vAlign w:val="center"/>
          </w:tcPr>
          <w:p w:rsidR="00651012" w:rsidRPr="002C3AF6" w:rsidRDefault="00651012" w:rsidP="00651012">
            <w:pPr>
              <w:pStyle w:val="TableParagraph"/>
              <w:jc w:val="center"/>
              <w:rPr>
                <w:rFonts w:ascii="Times New Roman" w:eastAsia="黑体" w:hAnsi="黑体" w:cs="Times New Roman"/>
                <w:sz w:val="21"/>
                <w:szCs w:val="21"/>
              </w:rPr>
            </w:pPr>
          </w:p>
        </w:tc>
      </w:tr>
      <w:tr w:rsidR="00651012" w:rsidRPr="002C3AF6" w:rsidTr="000121C1">
        <w:trPr>
          <w:jc w:val="center"/>
        </w:trPr>
        <w:tc>
          <w:tcPr>
            <w:tcW w:w="515" w:type="dxa"/>
            <w:vAlign w:val="center"/>
          </w:tcPr>
          <w:p w:rsidR="00651012" w:rsidRPr="002C3AF6" w:rsidRDefault="00176FA7" w:rsidP="00176FA7">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1</w:t>
            </w:r>
          </w:p>
        </w:tc>
        <w:tc>
          <w:tcPr>
            <w:tcW w:w="1011"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养老服务通用政策</w:t>
            </w:r>
          </w:p>
        </w:tc>
        <w:tc>
          <w:tcPr>
            <w:tcW w:w="997"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国家和地方层面养老服务相关法律、法规、政策文件</w:t>
            </w:r>
          </w:p>
        </w:tc>
        <w:tc>
          <w:tcPr>
            <w:tcW w:w="3323"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文件名称、文号、发文部门</w:t>
            </w:r>
          </w:p>
        </w:tc>
        <w:tc>
          <w:tcPr>
            <w:tcW w:w="2064"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《信息公开条例》及相关规定</w:t>
            </w:r>
          </w:p>
        </w:tc>
        <w:tc>
          <w:tcPr>
            <w:tcW w:w="992"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制定或获取文件之日起</w:t>
            </w:r>
            <w:r w:rsidRPr="002C3AF6">
              <w:rPr>
                <w:rFonts w:ascii="Times New Roman" w:eastAsia="仿宋_GB2312" w:hAnsi="Times New Roman" w:cs="Times New Roman"/>
                <w:sz w:val="21"/>
                <w:szCs w:val="21"/>
              </w:rPr>
              <w:t>10</w:t>
            </w:r>
            <w:r w:rsidRPr="002C3AF6">
              <w:rPr>
                <w:rFonts w:ascii="Times New Roman" w:eastAsia="仿宋_GB2312" w:hAnsi="Times New Roman" w:cs="Times New Roman"/>
                <w:sz w:val="21"/>
                <w:szCs w:val="21"/>
              </w:rPr>
              <w:t>个工作日内</w:t>
            </w:r>
          </w:p>
        </w:tc>
        <w:tc>
          <w:tcPr>
            <w:tcW w:w="850" w:type="dxa"/>
            <w:vAlign w:val="center"/>
          </w:tcPr>
          <w:p w:rsidR="00651012" w:rsidRPr="002C3AF6" w:rsidRDefault="00651012">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灌南县民政局养老服务和儿童福利科</w:t>
            </w:r>
          </w:p>
        </w:tc>
        <w:tc>
          <w:tcPr>
            <w:tcW w:w="575"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0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709"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14"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121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政府网站</w:t>
            </w:r>
          </w:p>
        </w:tc>
      </w:tr>
      <w:tr w:rsidR="00651012" w:rsidRPr="002C3AF6" w:rsidTr="000121C1">
        <w:trPr>
          <w:jc w:val="center"/>
        </w:trPr>
        <w:tc>
          <w:tcPr>
            <w:tcW w:w="515" w:type="dxa"/>
            <w:vAlign w:val="center"/>
          </w:tcPr>
          <w:p w:rsidR="00651012" w:rsidRPr="002C3AF6" w:rsidRDefault="00176FA7" w:rsidP="00176FA7">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2</w:t>
            </w:r>
          </w:p>
        </w:tc>
        <w:tc>
          <w:tcPr>
            <w:tcW w:w="1011"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养老服务业务办理</w:t>
            </w:r>
          </w:p>
        </w:tc>
        <w:tc>
          <w:tcPr>
            <w:tcW w:w="997"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养老机构备案</w:t>
            </w:r>
          </w:p>
        </w:tc>
        <w:tc>
          <w:tcPr>
            <w:tcW w:w="3323"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备案申请材料清单及样式、备案流程、办理部门、办理时限，办理时间、地点，咨询电话</w:t>
            </w:r>
          </w:p>
        </w:tc>
        <w:tc>
          <w:tcPr>
            <w:tcW w:w="2064"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《信息公开条例》及相关规定</w:t>
            </w:r>
          </w:p>
        </w:tc>
        <w:tc>
          <w:tcPr>
            <w:tcW w:w="992"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制定或获取备案政策之日起</w:t>
            </w:r>
            <w:r w:rsidRPr="002C3AF6">
              <w:rPr>
                <w:rFonts w:ascii="Times New Roman" w:eastAsia="仿宋_GB2312" w:hAnsi="Times New Roman" w:cs="Times New Roman"/>
                <w:sz w:val="21"/>
                <w:szCs w:val="21"/>
              </w:rPr>
              <w:t>10</w:t>
            </w:r>
            <w:r w:rsidRPr="002C3AF6">
              <w:rPr>
                <w:rFonts w:ascii="Times New Roman" w:eastAsia="仿宋_GB2312" w:hAnsi="Times New Roman" w:cs="Times New Roman"/>
                <w:sz w:val="21"/>
                <w:szCs w:val="21"/>
              </w:rPr>
              <w:t>个工作日内</w:t>
            </w:r>
          </w:p>
        </w:tc>
        <w:tc>
          <w:tcPr>
            <w:tcW w:w="850" w:type="dxa"/>
            <w:vAlign w:val="center"/>
          </w:tcPr>
          <w:p w:rsidR="00651012" w:rsidRPr="002C3AF6" w:rsidRDefault="00651012">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灌南县民政局养老服务和儿童福利科</w:t>
            </w:r>
          </w:p>
        </w:tc>
        <w:tc>
          <w:tcPr>
            <w:tcW w:w="575"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0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709"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14"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121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政府网站</w:t>
            </w:r>
          </w:p>
        </w:tc>
      </w:tr>
      <w:tr w:rsidR="00651012" w:rsidRPr="002C3AF6" w:rsidTr="000121C1">
        <w:trPr>
          <w:trHeight w:val="2245"/>
          <w:jc w:val="center"/>
        </w:trPr>
        <w:tc>
          <w:tcPr>
            <w:tcW w:w="515" w:type="dxa"/>
            <w:vAlign w:val="center"/>
          </w:tcPr>
          <w:p w:rsidR="00651012" w:rsidRPr="002C3AF6" w:rsidRDefault="00176FA7" w:rsidP="00176FA7">
            <w:pPr>
              <w:pStyle w:val="TableParagraph"/>
              <w:spacing w:line="26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3</w:t>
            </w:r>
          </w:p>
        </w:tc>
        <w:tc>
          <w:tcPr>
            <w:tcW w:w="1011" w:type="dxa"/>
            <w:vAlign w:val="center"/>
          </w:tcPr>
          <w:p w:rsidR="00651012" w:rsidRPr="002C3AF6" w:rsidRDefault="00651012" w:rsidP="002B0B44">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养老服务业务办理</w:t>
            </w:r>
          </w:p>
        </w:tc>
        <w:tc>
          <w:tcPr>
            <w:tcW w:w="997" w:type="dxa"/>
            <w:vAlign w:val="center"/>
          </w:tcPr>
          <w:p w:rsidR="00651012" w:rsidRPr="002C3AF6" w:rsidRDefault="00651012" w:rsidP="002B0B44">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老年人补贴</w:t>
            </w:r>
          </w:p>
        </w:tc>
        <w:tc>
          <w:tcPr>
            <w:tcW w:w="3323" w:type="dxa"/>
            <w:vAlign w:val="center"/>
          </w:tcPr>
          <w:p w:rsidR="00651012" w:rsidRPr="002C3AF6" w:rsidRDefault="00651012" w:rsidP="002B0B44">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064" w:type="dxa"/>
            <w:vAlign w:val="center"/>
          </w:tcPr>
          <w:p w:rsidR="00651012" w:rsidRPr="002C3AF6" w:rsidRDefault="00651012" w:rsidP="002B0B44">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《信息公开条例》及相关规定</w:t>
            </w:r>
          </w:p>
        </w:tc>
        <w:tc>
          <w:tcPr>
            <w:tcW w:w="992" w:type="dxa"/>
            <w:vAlign w:val="center"/>
          </w:tcPr>
          <w:p w:rsidR="00651012" w:rsidRPr="002C3AF6" w:rsidRDefault="00651012" w:rsidP="002B0B44">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制定或获取补贴政策之日起</w:t>
            </w:r>
            <w:r w:rsidRPr="002C3AF6">
              <w:rPr>
                <w:rFonts w:ascii="Times New Roman" w:eastAsia="仿宋_GB2312" w:hAnsi="Times New Roman" w:cs="Times New Roman"/>
                <w:sz w:val="21"/>
                <w:szCs w:val="21"/>
              </w:rPr>
              <w:t>10</w:t>
            </w:r>
            <w:r w:rsidRPr="002C3AF6">
              <w:rPr>
                <w:rFonts w:ascii="Times New Roman" w:eastAsia="仿宋_GB2312" w:hAnsi="Times New Roman" w:cs="Times New Roman"/>
                <w:sz w:val="21"/>
                <w:szCs w:val="21"/>
              </w:rPr>
              <w:t>个工作日内</w:t>
            </w:r>
          </w:p>
        </w:tc>
        <w:tc>
          <w:tcPr>
            <w:tcW w:w="850" w:type="dxa"/>
            <w:vAlign w:val="center"/>
          </w:tcPr>
          <w:p w:rsidR="00651012" w:rsidRPr="002C3AF6" w:rsidRDefault="005A791F" w:rsidP="002B0B44">
            <w:pPr>
              <w:pStyle w:val="TableParagraph"/>
              <w:spacing w:line="26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各</w:t>
            </w:r>
            <w:r w:rsidR="00651012">
              <w:rPr>
                <w:rFonts w:ascii="Times New Roman" w:eastAsia="仿宋_GB2312" w:hAnsi="Times New Roman" w:cs="Times New Roman" w:hint="eastAsia"/>
                <w:sz w:val="21"/>
                <w:szCs w:val="21"/>
              </w:rPr>
              <w:t>乡镇</w:t>
            </w:r>
          </w:p>
        </w:tc>
        <w:tc>
          <w:tcPr>
            <w:tcW w:w="575" w:type="dxa"/>
            <w:vAlign w:val="center"/>
          </w:tcPr>
          <w:p w:rsidR="00651012" w:rsidRPr="002C3AF6" w:rsidRDefault="00651012" w:rsidP="002B0B44">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01" w:type="dxa"/>
            <w:vAlign w:val="center"/>
          </w:tcPr>
          <w:p w:rsidR="00651012" w:rsidRPr="002C3AF6" w:rsidRDefault="00651012" w:rsidP="00651012">
            <w:pPr>
              <w:pStyle w:val="TableParagraph"/>
              <w:spacing w:line="260" w:lineRule="exact"/>
              <w:jc w:val="center"/>
              <w:rPr>
                <w:rFonts w:ascii="Times New Roman" w:eastAsia="仿宋_GB2312" w:hAnsi="Times New Roman" w:cs="Times New Roman"/>
                <w:sz w:val="21"/>
                <w:szCs w:val="21"/>
              </w:rPr>
            </w:pPr>
          </w:p>
        </w:tc>
        <w:tc>
          <w:tcPr>
            <w:tcW w:w="709" w:type="dxa"/>
            <w:vAlign w:val="center"/>
          </w:tcPr>
          <w:p w:rsidR="00651012" w:rsidRPr="002C3AF6" w:rsidRDefault="00651012" w:rsidP="00651012">
            <w:pPr>
              <w:pStyle w:val="TableParagraph"/>
              <w:spacing w:line="260" w:lineRule="exact"/>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14" w:type="dxa"/>
            <w:vAlign w:val="center"/>
          </w:tcPr>
          <w:p w:rsidR="00651012" w:rsidRPr="002C3AF6" w:rsidRDefault="00651012" w:rsidP="00651012">
            <w:pPr>
              <w:pStyle w:val="TableParagraph"/>
              <w:spacing w:line="260" w:lineRule="exact"/>
              <w:jc w:val="center"/>
              <w:rPr>
                <w:rFonts w:ascii="Times New Roman" w:eastAsia="仿宋_GB2312" w:hAnsi="Times New Roman" w:cs="Times New Roman"/>
                <w:sz w:val="21"/>
                <w:szCs w:val="21"/>
              </w:rPr>
            </w:pPr>
          </w:p>
        </w:tc>
        <w:tc>
          <w:tcPr>
            <w:tcW w:w="1211" w:type="dxa"/>
            <w:vAlign w:val="center"/>
          </w:tcPr>
          <w:p w:rsidR="00651012" w:rsidRPr="002C3AF6" w:rsidRDefault="000121C1" w:rsidP="00651012">
            <w:pPr>
              <w:pStyle w:val="TableParagraph"/>
              <w:spacing w:line="260" w:lineRule="exact"/>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政府网站</w:t>
            </w:r>
          </w:p>
        </w:tc>
      </w:tr>
      <w:tr w:rsidR="00651012" w:rsidRPr="002C3AF6" w:rsidTr="000121C1">
        <w:trPr>
          <w:trHeight w:val="1973"/>
          <w:jc w:val="center"/>
        </w:trPr>
        <w:tc>
          <w:tcPr>
            <w:tcW w:w="515" w:type="dxa"/>
            <w:vAlign w:val="center"/>
          </w:tcPr>
          <w:p w:rsidR="00651012" w:rsidRPr="002C3AF6" w:rsidRDefault="00176FA7" w:rsidP="00176FA7">
            <w:pPr>
              <w:pStyle w:val="TableParagraph"/>
              <w:ind w:firstLineChars="100" w:firstLine="210"/>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4</w:t>
            </w:r>
          </w:p>
        </w:tc>
        <w:tc>
          <w:tcPr>
            <w:tcW w:w="1011"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养老服务行业管理信息</w:t>
            </w:r>
          </w:p>
        </w:tc>
        <w:tc>
          <w:tcPr>
            <w:tcW w:w="997"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养老机构备案信息</w:t>
            </w:r>
          </w:p>
        </w:tc>
        <w:tc>
          <w:tcPr>
            <w:tcW w:w="3323"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本行政区域已备案养老机构案数量；本行政区域已备案养老机构名称、机构地址、床位数量等基本信息</w:t>
            </w:r>
          </w:p>
        </w:tc>
        <w:tc>
          <w:tcPr>
            <w:tcW w:w="2064"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《老年人权益保障法》、《养老机构管理办法》、《信息公开条例》及相关规定</w:t>
            </w:r>
          </w:p>
        </w:tc>
        <w:tc>
          <w:tcPr>
            <w:tcW w:w="992"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每</w:t>
            </w:r>
            <w:r w:rsidRPr="002C3AF6">
              <w:rPr>
                <w:rFonts w:ascii="Times New Roman" w:eastAsia="仿宋_GB2312" w:hAnsi="Times New Roman" w:cs="Times New Roman"/>
                <w:sz w:val="21"/>
                <w:szCs w:val="21"/>
              </w:rPr>
              <w:t>20</w:t>
            </w:r>
            <w:r w:rsidRPr="002C3AF6">
              <w:rPr>
                <w:rFonts w:ascii="Times New Roman" w:eastAsia="仿宋_GB2312" w:hAnsi="Times New Roman" w:cs="Times New Roman"/>
                <w:sz w:val="21"/>
                <w:szCs w:val="21"/>
              </w:rPr>
              <w:t>个工作日更新</w:t>
            </w:r>
          </w:p>
        </w:tc>
        <w:tc>
          <w:tcPr>
            <w:tcW w:w="850" w:type="dxa"/>
            <w:vAlign w:val="center"/>
          </w:tcPr>
          <w:p w:rsidR="00651012" w:rsidRPr="002C3AF6" w:rsidRDefault="00651012" w:rsidP="00C100F9">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灌南县民政局养老服务和儿童福利科</w:t>
            </w:r>
          </w:p>
        </w:tc>
        <w:tc>
          <w:tcPr>
            <w:tcW w:w="575"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0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709"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14"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121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政府网站</w:t>
            </w:r>
          </w:p>
        </w:tc>
      </w:tr>
      <w:tr w:rsidR="00651012" w:rsidRPr="002C3AF6" w:rsidTr="000121C1">
        <w:trPr>
          <w:jc w:val="center"/>
        </w:trPr>
        <w:tc>
          <w:tcPr>
            <w:tcW w:w="515" w:type="dxa"/>
            <w:vAlign w:val="center"/>
          </w:tcPr>
          <w:p w:rsidR="00651012" w:rsidRPr="002C3AF6" w:rsidRDefault="00176FA7" w:rsidP="00176FA7">
            <w:pPr>
              <w:pStyle w:val="TableParagraph"/>
              <w:ind w:firstLineChars="100" w:firstLine="210"/>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lastRenderedPageBreak/>
              <w:t>5</w:t>
            </w:r>
          </w:p>
        </w:tc>
        <w:tc>
          <w:tcPr>
            <w:tcW w:w="1011"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养老服务行业管理信息</w:t>
            </w:r>
          </w:p>
        </w:tc>
        <w:tc>
          <w:tcPr>
            <w:tcW w:w="997"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老年人补贴申领和发放信息</w:t>
            </w:r>
          </w:p>
        </w:tc>
        <w:tc>
          <w:tcPr>
            <w:tcW w:w="3323"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本行政区域各项老年人补贴申领数量、本行政区域各项老年人补贴申领审核通过数量、本行政区域各项老年人补贴申领审核通过名单、本行政区域各项老年人补贴发放总金额</w:t>
            </w:r>
          </w:p>
        </w:tc>
        <w:tc>
          <w:tcPr>
            <w:tcW w:w="2064"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《财政部民政部全国老龄办关于建立健全经济困难的高龄失能等老年人补贴制度的通知》、各地相关政策法规文件、《信息公开条例》及相关规定</w:t>
            </w:r>
          </w:p>
        </w:tc>
        <w:tc>
          <w:tcPr>
            <w:tcW w:w="992"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每</w:t>
            </w:r>
            <w:r w:rsidRPr="002C3AF6">
              <w:rPr>
                <w:rFonts w:ascii="Times New Roman" w:eastAsia="仿宋_GB2312" w:hAnsi="Times New Roman" w:cs="Times New Roman"/>
                <w:sz w:val="21"/>
                <w:szCs w:val="21"/>
              </w:rPr>
              <w:t>20</w:t>
            </w:r>
            <w:r w:rsidRPr="002C3AF6">
              <w:rPr>
                <w:rFonts w:ascii="Times New Roman" w:eastAsia="仿宋_GB2312" w:hAnsi="Times New Roman" w:cs="Times New Roman"/>
                <w:sz w:val="21"/>
                <w:szCs w:val="21"/>
              </w:rPr>
              <w:t>个工作日更新</w:t>
            </w:r>
          </w:p>
        </w:tc>
        <w:tc>
          <w:tcPr>
            <w:tcW w:w="850" w:type="dxa"/>
            <w:vAlign w:val="center"/>
          </w:tcPr>
          <w:p w:rsidR="00651012" w:rsidRPr="002C3AF6" w:rsidRDefault="005A791F">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各</w:t>
            </w:r>
            <w:r w:rsidR="00651012">
              <w:rPr>
                <w:rFonts w:ascii="Times New Roman" w:eastAsia="仿宋_GB2312" w:hAnsi="Times New Roman" w:cs="Times New Roman" w:hint="eastAsia"/>
                <w:sz w:val="21"/>
                <w:szCs w:val="21"/>
              </w:rPr>
              <w:t>乡镇</w:t>
            </w:r>
          </w:p>
        </w:tc>
        <w:tc>
          <w:tcPr>
            <w:tcW w:w="575" w:type="dxa"/>
            <w:vAlign w:val="center"/>
          </w:tcPr>
          <w:p w:rsidR="00651012" w:rsidRPr="002C3AF6" w:rsidRDefault="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01"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709"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r w:rsidRPr="002C3AF6">
              <w:rPr>
                <w:rFonts w:ascii="Times New Roman" w:eastAsia="仿宋_GB2312" w:hAnsi="Times New Roman" w:cs="Times New Roman"/>
                <w:sz w:val="21"/>
                <w:szCs w:val="21"/>
              </w:rPr>
              <w:t>√</w:t>
            </w:r>
          </w:p>
        </w:tc>
        <w:tc>
          <w:tcPr>
            <w:tcW w:w="714" w:type="dxa"/>
            <w:vAlign w:val="center"/>
          </w:tcPr>
          <w:p w:rsidR="00651012" w:rsidRPr="002C3AF6" w:rsidRDefault="00651012" w:rsidP="00651012">
            <w:pPr>
              <w:pStyle w:val="TableParagraph"/>
              <w:jc w:val="center"/>
              <w:rPr>
                <w:rFonts w:ascii="Times New Roman" w:eastAsia="仿宋_GB2312" w:hAnsi="Times New Roman" w:cs="Times New Roman"/>
                <w:sz w:val="21"/>
                <w:szCs w:val="21"/>
              </w:rPr>
            </w:pPr>
          </w:p>
        </w:tc>
        <w:tc>
          <w:tcPr>
            <w:tcW w:w="1211" w:type="dxa"/>
            <w:vAlign w:val="center"/>
          </w:tcPr>
          <w:p w:rsidR="00651012" w:rsidRPr="002C3AF6" w:rsidRDefault="000121C1" w:rsidP="00651012">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政府网站</w:t>
            </w:r>
          </w:p>
        </w:tc>
      </w:tr>
    </w:tbl>
    <w:p w:rsidR="002C3AF6" w:rsidRPr="002C3AF6" w:rsidRDefault="002C3AF6" w:rsidP="002B0B44">
      <w:pPr>
        <w:spacing w:line="20" w:lineRule="exact"/>
        <w:rPr>
          <w:rFonts w:ascii="Times New Roman" w:hAnsi="Times New Roman" w:cs="Times New Roman"/>
        </w:rPr>
      </w:pPr>
    </w:p>
    <w:sectPr w:rsidR="002C3AF6" w:rsidRPr="002C3AF6" w:rsidSect="00F260C1">
      <w:pgSz w:w="16838" w:h="11905" w:orient="landscape"/>
      <w:pgMar w:top="1134" w:right="1134" w:bottom="1134" w:left="1134" w:header="1304" w:footer="1304" w:gutter="0"/>
      <w:pgNumType w:start="1"/>
      <w:cols w:space="720"/>
      <w:docGrid w:linePitch="5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37" w:rsidRDefault="00714537" w:rsidP="00543B39">
      <w:r>
        <w:separator/>
      </w:r>
    </w:p>
  </w:endnote>
  <w:endnote w:type="continuationSeparator" w:id="0">
    <w:p w:rsidR="00714537" w:rsidRDefault="00714537" w:rsidP="0054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oto Sans Mono CJK JP Bold">
    <w:altName w:val="Arial"/>
    <w:charset w:val="00"/>
    <w:family w:val="swiss"/>
    <w:pitch w:val="variable"/>
  </w:font>
  <w:font w:name="Droid Sans Fallback">
    <w:altName w:val="Arial"/>
    <w:charset w:val="00"/>
    <w:family w:val="swiss"/>
    <w:pitch w:val="variable"/>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37" w:rsidRDefault="00714537" w:rsidP="00543B39">
      <w:r>
        <w:separator/>
      </w:r>
    </w:p>
  </w:footnote>
  <w:footnote w:type="continuationSeparator" w:id="0">
    <w:p w:rsidR="00714537" w:rsidRDefault="00714537" w:rsidP="00543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2FE"/>
    <w:multiLevelType w:val="hybridMultilevel"/>
    <w:tmpl w:val="0338F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5EF33C7"/>
    <w:multiLevelType w:val="hybridMultilevel"/>
    <w:tmpl w:val="36165E2E"/>
    <w:lvl w:ilvl="0" w:tplc="21D409F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5E302E"/>
    <w:multiLevelType w:val="hybridMultilevel"/>
    <w:tmpl w:val="13A60C2E"/>
    <w:lvl w:ilvl="0" w:tplc="8C4A88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FC36E07"/>
    <w:rsid w:val="00006505"/>
    <w:rsid w:val="000121C1"/>
    <w:rsid w:val="000E2BEF"/>
    <w:rsid w:val="00176FA7"/>
    <w:rsid w:val="001E7034"/>
    <w:rsid w:val="002B0B44"/>
    <w:rsid w:val="002C3AF6"/>
    <w:rsid w:val="002F3884"/>
    <w:rsid w:val="003063BB"/>
    <w:rsid w:val="003D53C5"/>
    <w:rsid w:val="00543B39"/>
    <w:rsid w:val="005A791F"/>
    <w:rsid w:val="00651012"/>
    <w:rsid w:val="007118B0"/>
    <w:rsid w:val="00714537"/>
    <w:rsid w:val="00826F76"/>
    <w:rsid w:val="00BE4BA6"/>
    <w:rsid w:val="00CB4575"/>
    <w:rsid w:val="00D93738"/>
    <w:rsid w:val="00E32283"/>
    <w:rsid w:val="00F260C1"/>
    <w:rsid w:val="00FC12BE"/>
    <w:rsid w:val="0EDC62B7"/>
    <w:rsid w:val="0FC36E07"/>
    <w:rsid w:val="43215A70"/>
    <w:rsid w:val="7414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260C1"/>
    <w:pPr>
      <w:widowControl w:val="0"/>
      <w:autoSpaceDE w:val="0"/>
      <w:autoSpaceDN w:val="0"/>
    </w:pPr>
    <w:rPr>
      <w:rFonts w:ascii="Noto Sans Mono CJK JP Bold" w:eastAsia="Noto Sans Mono CJK JP Bold" w:hAnsi="Noto Sans Mono CJK JP Bold" w:cs="Noto Sans Mono CJK JP Bol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260C1"/>
    <w:rPr>
      <w:rFonts w:ascii="Droid Sans Fallback" w:eastAsia="Droid Sans Fallback" w:hAnsi="Droid Sans Fallback" w:cs="Droid Sans Fallback"/>
      <w:sz w:val="30"/>
      <w:szCs w:val="30"/>
    </w:rPr>
  </w:style>
  <w:style w:type="paragraph" w:customStyle="1" w:styleId="TableParagraph">
    <w:name w:val="Table Paragraph"/>
    <w:basedOn w:val="a"/>
    <w:uiPriority w:val="1"/>
    <w:qFormat/>
    <w:rsid w:val="00F260C1"/>
  </w:style>
  <w:style w:type="paragraph" w:styleId="a4">
    <w:name w:val="header"/>
    <w:basedOn w:val="a"/>
    <w:link w:val="Char"/>
    <w:rsid w:val="00543B3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43B39"/>
    <w:rPr>
      <w:rFonts w:ascii="Noto Sans Mono CJK JP Bold" w:eastAsia="Noto Sans Mono CJK JP Bold" w:hAnsi="Noto Sans Mono CJK JP Bold" w:cs="Noto Sans Mono CJK JP Bold"/>
      <w:sz w:val="18"/>
      <w:szCs w:val="18"/>
    </w:rPr>
  </w:style>
  <w:style w:type="paragraph" w:styleId="a5">
    <w:name w:val="footer"/>
    <w:basedOn w:val="a"/>
    <w:link w:val="Char0"/>
    <w:rsid w:val="00543B39"/>
    <w:pPr>
      <w:tabs>
        <w:tab w:val="center" w:pos="4153"/>
        <w:tab w:val="right" w:pos="8306"/>
      </w:tabs>
      <w:snapToGrid w:val="0"/>
    </w:pPr>
    <w:rPr>
      <w:sz w:val="18"/>
      <w:szCs w:val="18"/>
    </w:rPr>
  </w:style>
  <w:style w:type="character" w:customStyle="1" w:styleId="Char0">
    <w:name w:val="页脚 Char"/>
    <w:link w:val="a5"/>
    <w:rsid w:val="00543B39"/>
    <w:rPr>
      <w:rFonts w:ascii="Noto Sans Mono CJK JP Bold" w:eastAsia="Noto Sans Mono CJK JP Bold" w:hAnsi="Noto Sans Mono CJK JP Bold" w:cs="Noto Sans Mono CJK JP Bold"/>
      <w:sz w:val="18"/>
      <w:szCs w:val="18"/>
    </w:rPr>
  </w:style>
  <w:style w:type="paragraph" w:styleId="a6">
    <w:name w:val="List Paragraph"/>
    <w:basedOn w:val="a"/>
    <w:uiPriority w:val="34"/>
    <w:qFormat/>
    <w:rsid w:val="00651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dc:creator>
  <cp:lastModifiedBy>mm</cp:lastModifiedBy>
  <cp:revision>11</cp:revision>
  <dcterms:created xsi:type="dcterms:W3CDTF">2020-10-23T02:06:00Z</dcterms:created>
  <dcterms:modified xsi:type="dcterms:W3CDTF">2020-11-02T07:27:00Z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