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36" w:rsidRPr="002709DF" w:rsidRDefault="00D65C36" w:rsidP="002709DF">
      <w:pPr>
        <w:widowControl/>
        <w:shd w:val="clear" w:color="auto" w:fill="FFFFFF"/>
        <w:spacing w:after="450" w:line="480" w:lineRule="atLeast"/>
        <w:jc w:val="center"/>
        <w:outlineLvl w:val="1"/>
        <w:rPr>
          <w:rFonts w:ascii="Microsoft Yahei" w:hAnsi="Microsoft Yahei" w:cs="Microsoft Yahei"/>
          <w:kern w:val="0"/>
          <w:sz w:val="39"/>
          <w:szCs w:val="39"/>
        </w:rPr>
      </w:pPr>
      <w:bookmarkStart w:id="0" w:name="_GoBack"/>
      <w:r w:rsidRPr="002709DF">
        <w:rPr>
          <w:rFonts w:ascii="Microsoft Yahei" w:hAnsi="Microsoft Yahei" w:cs="宋体" w:hint="eastAsia"/>
          <w:kern w:val="0"/>
          <w:sz w:val="39"/>
          <w:szCs w:val="39"/>
        </w:rPr>
        <w:t>灌南县农村危房改造领域基层政务公开目录</w:t>
      </w:r>
      <w:r w:rsidR="00C93435">
        <w:rPr>
          <w:rFonts w:ascii="Microsoft Yahei" w:hAnsi="Microsoft Yahei" w:cs="宋体" w:hint="eastAsia"/>
          <w:kern w:val="0"/>
          <w:sz w:val="39"/>
          <w:szCs w:val="39"/>
        </w:rPr>
        <w:t>（试行）</w:t>
      </w:r>
    </w:p>
    <w:bookmarkEnd w:id="0"/>
    <w:p w:rsidR="00D65C36" w:rsidRPr="002709DF" w:rsidRDefault="00D65C36" w:rsidP="002709DF">
      <w:pPr>
        <w:widowControl/>
        <w:shd w:val="clear" w:color="auto" w:fill="FFFFFF"/>
        <w:jc w:val="center"/>
        <w:rPr>
          <w:rFonts w:ascii="Microsoft Yahei" w:hAnsi="Microsoft Yahei" w:cs="Microsoft Yahei"/>
          <w:color w:val="000000"/>
          <w:kern w:val="0"/>
          <w:sz w:val="23"/>
          <w:szCs w:val="23"/>
        </w:rPr>
      </w:pPr>
    </w:p>
    <w:tbl>
      <w:tblPr>
        <w:tblW w:w="5000" w:type="pct"/>
        <w:jc w:val="center"/>
        <w:tblCellSpacing w:w="0" w:type="dxa"/>
        <w:tblCellMar>
          <w:left w:w="0" w:type="dxa"/>
          <w:right w:w="0" w:type="dxa"/>
        </w:tblCellMar>
        <w:tblLook w:val="00A0" w:firstRow="1" w:lastRow="0" w:firstColumn="1" w:lastColumn="0" w:noHBand="0" w:noVBand="0"/>
      </w:tblPr>
      <w:tblGrid>
        <w:gridCol w:w="575"/>
        <w:gridCol w:w="733"/>
        <w:gridCol w:w="1260"/>
        <w:gridCol w:w="2819"/>
        <w:gridCol w:w="1967"/>
        <w:gridCol w:w="1401"/>
        <w:gridCol w:w="1542"/>
        <w:gridCol w:w="685"/>
        <w:gridCol w:w="476"/>
        <w:gridCol w:w="552"/>
        <w:gridCol w:w="693"/>
        <w:gridCol w:w="1390"/>
      </w:tblGrid>
      <w:tr w:rsidR="00D13D7B" w:rsidRPr="00F30635" w:rsidTr="00D13D7B">
        <w:trPr>
          <w:tblCellSpacing w:w="0" w:type="dxa"/>
          <w:jc w:val="center"/>
        </w:trPr>
        <w:tc>
          <w:tcPr>
            <w:tcW w:w="204"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2709DF">
            <w:pPr>
              <w:widowControl/>
              <w:jc w:val="center"/>
              <w:rPr>
                <w:rFonts w:ascii="宋体" w:cs="Times New Roman"/>
                <w:kern w:val="0"/>
                <w:sz w:val="24"/>
                <w:szCs w:val="24"/>
              </w:rPr>
            </w:pPr>
            <w:r w:rsidRPr="002709DF">
              <w:rPr>
                <w:rFonts w:ascii="Times New Roman" w:hAnsi="Times New Roman" w:cs="宋体" w:hint="eastAsia"/>
                <w:kern w:val="0"/>
                <w:sz w:val="23"/>
                <w:szCs w:val="23"/>
              </w:rPr>
              <w:t>序号</w:t>
            </w:r>
          </w:p>
        </w:tc>
        <w:tc>
          <w:tcPr>
            <w:tcW w:w="707"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2709DF">
            <w:pPr>
              <w:widowControl/>
              <w:jc w:val="center"/>
              <w:rPr>
                <w:rFonts w:ascii="宋体" w:cs="Times New Roman"/>
                <w:kern w:val="0"/>
                <w:sz w:val="24"/>
                <w:szCs w:val="24"/>
              </w:rPr>
            </w:pPr>
            <w:r w:rsidRPr="002709DF">
              <w:rPr>
                <w:rFonts w:ascii="黑体" w:eastAsia="黑体" w:hAnsi="黑体" w:cs="黑体" w:hint="eastAsia"/>
                <w:kern w:val="0"/>
                <w:sz w:val="23"/>
                <w:szCs w:val="23"/>
              </w:rPr>
              <w:t>公开事项</w:t>
            </w:r>
          </w:p>
        </w:tc>
        <w:tc>
          <w:tcPr>
            <w:tcW w:w="1000"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2709DF">
            <w:pPr>
              <w:widowControl/>
              <w:jc w:val="center"/>
              <w:rPr>
                <w:rFonts w:ascii="宋体" w:cs="Times New Roman"/>
                <w:kern w:val="0"/>
                <w:sz w:val="24"/>
                <w:szCs w:val="24"/>
              </w:rPr>
            </w:pPr>
            <w:r w:rsidRPr="002709DF">
              <w:rPr>
                <w:rFonts w:ascii="黑体" w:eastAsia="黑体" w:hAnsi="黑体" w:cs="黑体" w:hint="eastAsia"/>
                <w:kern w:val="0"/>
                <w:sz w:val="23"/>
                <w:szCs w:val="23"/>
              </w:rPr>
              <w:t>公开内容（要素）</w:t>
            </w:r>
          </w:p>
        </w:tc>
        <w:tc>
          <w:tcPr>
            <w:tcW w:w="698"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2709DF">
            <w:pPr>
              <w:widowControl/>
              <w:jc w:val="center"/>
              <w:rPr>
                <w:rFonts w:ascii="宋体" w:cs="Times New Roman"/>
                <w:kern w:val="0"/>
                <w:sz w:val="24"/>
                <w:szCs w:val="24"/>
              </w:rPr>
            </w:pPr>
            <w:r w:rsidRPr="002709DF">
              <w:rPr>
                <w:rFonts w:ascii="黑体" w:eastAsia="黑体" w:hAnsi="黑体" w:cs="黑体" w:hint="eastAsia"/>
                <w:kern w:val="0"/>
                <w:sz w:val="23"/>
                <w:szCs w:val="23"/>
              </w:rPr>
              <w:t>公开依据</w:t>
            </w:r>
          </w:p>
        </w:tc>
        <w:tc>
          <w:tcPr>
            <w:tcW w:w="497"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Default="00D13D7B" w:rsidP="00C93435">
            <w:pPr>
              <w:widowControl/>
              <w:jc w:val="center"/>
              <w:rPr>
                <w:rFonts w:ascii="黑体" w:eastAsia="黑体" w:hAnsi="黑体" w:cs="Times New Roman"/>
                <w:kern w:val="0"/>
                <w:sz w:val="23"/>
                <w:szCs w:val="23"/>
              </w:rPr>
            </w:pPr>
            <w:r w:rsidRPr="002709DF">
              <w:rPr>
                <w:rFonts w:ascii="黑体" w:eastAsia="黑体" w:hAnsi="黑体" w:cs="黑体" w:hint="eastAsia"/>
                <w:kern w:val="0"/>
                <w:sz w:val="23"/>
                <w:szCs w:val="23"/>
              </w:rPr>
              <w:t>公开</w:t>
            </w:r>
          </w:p>
          <w:p w:rsidR="00D13D7B" w:rsidRPr="002709DF" w:rsidRDefault="00D13D7B" w:rsidP="00C93435">
            <w:pPr>
              <w:widowControl/>
              <w:jc w:val="center"/>
              <w:rPr>
                <w:rFonts w:ascii="宋体" w:cs="Times New Roman"/>
                <w:kern w:val="0"/>
                <w:sz w:val="24"/>
                <w:szCs w:val="24"/>
              </w:rPr>
            </w:pPr>
            <w:r w:rsidRPr="002709DF">
              <w:rPr>
                <w:rFonts w:ascii="黑体" w:eastAsia="黑体" w:hAnsi="黑体" w:cs="黑体" w:hint="eastAsia"/>
                <w:kern w:val="0"/>
                <w:sz w:val="23"/>
                <w:szCs w:val="23"/>
              </w:rPr>
              <w:t>时限</w:t>
            </w:r>
          </w:p>
        </w:tc>
        <w:tc>
          <w:tcPr>
            <w:tcW w:w="547"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C93435">
            <w:pPr>
              <w:widowControl/>
              <w:jc w:val="left"/>
              <w:rPr>
                <w:rFonts w:ascii="宋体" w:cs="Times New Roman"/>
                <w:kern w:val="0"/>
                <w:sz w:val="24"/>
                <w:szCs w:val="24"/>
              </w:rPr>
            </w:pPr>
            <w:r w:rsidRPr="002709DF">
              <w:rPr>
                <w:rFonts w:ascii="黑体" w:eastAsia="黑体" w:hAnsi="黑体" w:cs="黑体" w:hint="eastAsia"/>
                <w:kern w:val="0"/>
                <w:sz w:val="23"/>
                <w:szCs w:val="23"/>
              </w:rPr>
              <w:t>公开主体</w:t>
            </w:r>
          </w:p>
        </w:tc>
        <w:tc>
          <w:tcPr>
            <w:tcW w:w="412"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D13D7B">
            <w:pPr>
              <w:widowControl/>
              <w:jc w:val="center"/>
              <w:rPr>
                <w:rFonts w:ascii="宋体" w:cs="Times New Roman"/>
                <w:kern w:val="0"/>
                <w:sz w:val="24"/>
                <w:szCs w:val="24"/>
              </w:rPr>
            </w:pPr>
            <w:r w:rsidRPr="002709DF">
              <w:rPr>
                <w:rFonts w:ascii="黑体" w:eastAsia="黑体" w:hAnsi="黑体" w:cs="黑体" w:hint="eastAsia"/>
                <w:kern w:val="0"/>
                <w:sz w:val="23"/>
                <w:szCs w:val="23"/>
              </w:rPr>
              <w:t>公开对象</w:t>
            </w:r>
          </w:p>
        </w:tc>
        <w:tc>
          <w:tcPr>
            <w:tcW w:w="442"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D13D7B">
            <w:pPr>
              <w:widowControl/>
              <w:jc w:val="center"/>
              <w:rPr>
                <w:rFonts w:ascii="宋体" w:cs="Times New Roman"/>
                <w:kern w:val="0"/>
                <w:sz w:val="24"/>
                <w:szCs w:val="24"/>
              </w:rPr>
            </w:pPr>
            <w:r w:rsidRPr="002709DF">
              <w:rPr>
                <w:rFonts w:ascii="黑体" w:eastAsia="黑体" w:hAnsi="黑体" w:cs="黑体" w:hint="eastAsia"/>
                <w:kern w:val="0"/>
                <w:sz w:val="23"/>
                <w:szCs w:val="23"/>
              </w:rPr>
              <w:t>公开方式</w:t>
            </w:r>
          </w:p>
        </w:tc>
        <w:tc>
          <w:tcPr>
            <w:tcW w:w="493" w:type="pct"/>
            <w:vMerge w:val="restart"/>
            <w:tcBorders>
              <w:top w:val="single" w:sz="6" w:space="0" w:color="auto"/>
              <w:left w:val="single" w:sz="6" w:space="0" w:color="auto"/>
              <w:right w:val="single" w:sz="6" w:space="0" w:color="auto"/>
            </w:tcBorders>
            <w:vAlign w:val="center"/>
          </w:tcPr>
          <w:p w:rsidR="00D13D7B" w:rsidRPr="002709DF" w:rsidRDefault="00D13D7B" w:rsidP="00D13D7B">
            <w:pPr>
              <w:widowControl/>
              <w:jc w:val="center"/>
              <w:rPr>
                <w:rFonts w:ascii="黑体" w:eastAsia="黑体" w:hAnsi="黑体" w:cs="Times New Roman"/>
                <w:kern w:val="0"/>
                <w:sz w:val="23"/>
                <w:szCs w:val="23"/>
              </w:rPr>
            </w:pPr>
            <w:r>
              <w:rPr>
                <w:rFonts w:ascii="黑体" w:eastAsia="黑体" w:hAnsi="黑体" w:cs="黑体" w:hint="eastAsia"/>
                <w:kern w:val="0"/>
                <w:sz w:val="23"/>
                <w:szCs w:val="23"/>
              </w:rPr>
              <w:t>公开渠道</w:t>
            </w:r>
          </w:p>
        </w:tc>
      </w:tr>
      <w:tr w:rsidR="00D13D7B" w:rsidRPr="00F30635" w:rsidTr="00D13D7B">
        <w:trPr>
          <w:tblCellSpacing w:w="0" w:type="dxa"/>
          <w:jc w:val="center"/>
        </w:trPr>
        <w:tc>
          <w:tcPr>
            <w:tcW w:w="204" w:type="pct"/>
            <w:vMerge/>
            <w:tcBorders>
              <w:top w:val="single" w:sz="6" w:space="0" w:color="auto"/>
              <w:left w:val="single" w:sz="6" w:space="0" w:color="auto"/>
              <w:bottom w:val="single" w:sz="6" w:space="0" w:color="auto"/>
              <w:right w:val="single" w:sz="6" w:space="0" w:color="auto"/>
            </w:tcBorders>
            <w:vAlign w:val="center"/>
          </w:tcPr>
          <w:p w:rsidR="00D13D7B" w:rsidRPr="002709DF" w:rsidRDefault="00D13D7B" w:rsidP="002709DF">
            <w:pPr>
              <w:widowControl/>
              <w:jc w:val="left"/>
              <w:rPr>
                <w:rFonts w:ascii="宋体" w:cs="Times New Roman"/>
                <w:kern w:val="0"/>
                <w:sz w:val="24"/>
                <w:szCs w:val="24"/>
              </w:rPr>
            </w:pPr>
          </w:p>
        </w:tc>
        <w:tc>
          <w:tcPr>
            <w:tcW w:w="260" w:type="pct"/>
            <w:tcBorders>
              <w:top w:val="single" w:sz="6" w:space="0" w:color="auto"/>
              <w:left w:val="single" w:sz="6" w:space="0" w:color="auto"/>
              <w:bottom w:val="single" w:sz="6" w:space="0" w:color="auto"/>
              <w:right w:val="single" w:sz="6" w:space="0" w:color="auto"/>
            </w:tcBorders>
            <w:vAlign w:val="center"/>
          </w:tcPr>
          <w:p w:rsidR="00D13D7B" w:rsidRPr="002709DF" w:rsidRDefault="00D13D7B" w:rsidP="002709DF">
            <w:pPr>
              <w:widowControl/>
              <w:jc w:val="center"/>
              <w:rPr>
                <w:rFonts w:ascii="宋体" w:cs="Times New Roman"/>
                <w:kern w:val="0"/>
                <w:sz w:val="24"/>
                <w:szCs w:val="24"/>
              </w:rPr>
            </w:pPr>
            <w:r w:rsidRPr="002709DF">
              <w:rPr>
                <w:rFonts w:ascii="黑体" w:eastAsia="黑体" w:hAnsi="黑体" w:cs="黑体" w:hint="eastAsia"/>
                <w:kern w:val="0"/>
                <w:sz w:val="23"/>
                <w:szCs w:val="23"/>
              </w:rPr>
              <w:t>一级事项</w:t>
            </w:r>
          </w:p>
        </w:tc>
        <w:tc>
          <w:tcPr>
            <w:tcW w:w="447" w:type="pct"/>
            <w:tcBorders>
              <w:top w:val="single" w:sz="6" w:space="0" w:color="auto"/>
              <w:left w:val="single" w:sz="6" w:space="0" w:color="auto"/>
              <w:bottom w:val="single" w:sz="6" w:space="0" w:color="auto"/>
              <w:right w:val="single" w:sz="6" w:space="0" w:color="auto"/>
            </w:tcBorders>
            <w:vAlign w:val="center"/>
          </w:tcPr>
          <w:p w:rsidR="00D13D7B" w:rsidRPr="002709DF" w:rsidRDefault="00D13D7B" w:rsidP="002709DF">
            <w:pPr>
              <w:widowControl/>
              <w:jc w:val="center"/>
              <w:rPr>
                <w:rFonts w:ascii="宋体" w:cs="Times New Roman"/>
                <w:kern w:val="0"/>
                <w:sz w:val="24"/>
                <w:szCs w:val="24"/>
              </w:rPr>
            </w:pPr>
            <w:r w:rsidRPr="002709DF">
              <w:rPr>
                <w:rFonts w:ascii="黑体" w:eastAsia="黑体" w:hAnsi="黑体" w:cs="黑体" w:hint="eastAsia"/>
                <w:kern w:val="0"/>
                <w:sz w:val="23"/>
                <w:szCs w:val="23"/>
              </w:rPr>
              <w:t>二级事项</w:t>
            </w:r>
          </w:p>
        </w:tc>
        <w:tc>
          <w:tcPr>
            <w:tcW w:w="1000" w:type="pct"/>
            <w:vMerge/>
            <w:tcBorders>
              <w:top w:val="single" w:sz="6" w:space="0" w:color="auto"/>
              <w:left w:val="single" w:sz="6" w:space="0" w:color="auto"/>
              <w:bottom w:val="single" w:sz="6" w:space="0" w:color="auto"/>
              <w:right w:val="single" w:sz="6" w:space="0" w:color="auto"/>
            </w:tcBorders>
            <w:vAlign w:val="center"/>
          </w:tcPr>
          <w:p w:rsidR="00D13D7B" w:rsidRPr="002709DF" w:rsidRDefault="00D13D7B" w:rsidP="002709DF">
            <w:pPr>
              <w:widowControl/>
              <w:jc w:val="left"/>
              <w:rPr>
                <w:rFonts w:ascii="宋体" w:cs="Times New Roman"/>
                <w:kern w:val="0"/>
                <w:sz w:val="24"/>
                <w:szCs w:val="24"/>
              </w:rPr>
            </w:pP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2709DF" w:rsidRDefault="00D13D7B" w:rsidP="002709DF">
            <w:pPr>
              <w:widowControl/>
              <w:jc w:val="left"/>
              <w:rPr>
                <w:rFonts w:ascii="宋体" w:cs="Times New Roman"/>
                <w:kern w:val="0"/>
                <w:sz w:val="24"/>
                <w:szCs w:val="24"/>
              </w:rPr>
            </w:pPr>
          </w:p>
        </w:tc>
        <w:tc>
          <w:tcPr>
            <w:tcW w:w="497" w:type="pct"/>
            <w:vMerge/>
            <w:tcBorders>
              <w:top w:val="single" w:sz="6" w:space="0" w:color="auto"/>
              <w:left w:val="single" w:sz="6" w:space="0" w:color="auto"/>
              <w:bottom w:val="single" w:sz="6" w:space="0" w:color="auto"/>
              <w:right w:val="single" w:sz="6" w:space="0" w:color="auto"/>
            </w:tcBorders>
            <w:vAlign w:val="center"/>
          </w:tcPr>
          <w:p w:rsidR="00D13D7B" w:rsidRPr="002709DF" w:rsidRDefault="00D13D7B" w:rsidP="00C93435">
            <w:pPr>
              <w:widowControl/>
              <w:jc w:val="center"/>
              <w:rPr>
                <w:rFonts w:ascii="宋体" w:cs="Times New Roman"/>
                <w:kern w:val="0"/>
                <w:sz w:val="24"/>
                <w:szCs w:val="24"/>
              </w:rPr>
            </w:pPr>
          </w:p>
        </w:tc>
        <w:tc>
          <w:tcPr>
            <w:tcW w:w="547" w:type="pct"/>
            <w:vMerge/>
            <w:tcBorders>
              <w:top w:val="single" w:sz="6" w:space="0" w:color="auto"/>
              <w:left w:val="single" w:sz="6" w:space="0" w:color="auto"/>
              <w:bottom w:val="single" w:sz="6" w:space="0" w:color="auto"/>
              <w:right w:val="single" w:sz="6" w:space="0" w:color="auto"/>
            </w:tcBorders>
            <w:vAlign w:val="center"/>
          </w:tcPr>
          <w:p w:rsidR="00D13D7B" w:rsidRPr="002709DF" w:rsidRDefault="00D13D7B" w:rsidP="00C93435">
            <w:pPr>
              <w:widowControl/>
              <w:jc w:val="left"/>
              <w:rPr>
                <w:rFonts w:ascii="宋体" w:cs="Times New Roman"/>
                <w:kern w:val="0"/>
                <w:sz w:val="24"/>
                <w:szCs w:val="24"/>
              </w:rPr>
            </w:pP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2709DF">
            <w:pPr>
              <w:widowControl/>
              <w:jc w:val="center"/>
              <w:rPr>
                <w:rFonts w:ascii="宋体" w:cs="Times New Roman"/>
                <w:kern w:val="0"/>
                <w:sz w:val="24"/>
                <w:szCs w:val="24"/>
              </w:rPr>
            </w:pPr>
            <w:r w:rsidRPr="002709DF">
              <w:rPr>
                <w:rFonts w:ascii="黑体" w:eastAsia="黑体" w:hAnsi="黑体" w:cs="黑体" w:hint="eastAsia"/>
                <w:kern w:val="0"/>
                <w:sz w:val="23"/>
                <w:szCs w:val="23"/>
              </w:rPr>
              <w:t>全社会</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D13D7B">
            <w:pPr>
              <w:widowControl/>
              <w:jc w:val="center"/>
              <w:rPr>
                <w:rFonts w:ascii="宋体" w:cs="Times New Roman"/>
                <w:kern w:val="0"/>
                <w:sz w:val="24"/>
                <w:szCs w:val="24"/>
              </w:rPr>
            </w:pPr>
            <w:r w:rsidRPr="002709DF">
              <w:rPr>
                <w:rFonts w:ascii="黑体" w:eastAsia="黑体" w:hAnsi="黑体" w:cs="黑体" w:hint="eastAsia"/>
                <w:kern w:val="0"/>
                <w:sz w:val="23"/>
                <w:szCs w:val="23"/>
              </w:rPr>
              <w:t>特定群众</w:t>
            </w: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D13D7B">
            <w:pPr>
              <w:widowControl/>
              <w:jc w:val="center"/>
              <w:rPr>
                <w:rFonts w:ascii="宋体" w:cs="Times New Roman"/>
                <w:kern w:val="0"/>
                <w:sz w:val="24"/>
                <w:szCs w:val="24"/>
              </w:rPr>
            </w:pPr>
            <w:r w:rsidRPr="002709DF">
              <w:rPr>
                <w:rFonts w:ascii="黑体" w:eastAsia="黑体" w:hAnsi="黑体" w:cs="黑体" w:hint="eastAsia"/>
                <w:kern w:val="0"/>
                <w:sz w:val="23"/>
                <w:szCs w:val="23"/>
              </w:rPr>
              <w:t>主动公开</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2709DF" w:rsidRDefault="00D13D7B" w:rsidP="00D13D7B">
            <w:pPr>
              <w:widowControl/>
              <w:jc w:val="center"/>
              <w:rPr>
                <w:rFonts w:ascii="宋体" w:cs="Times New Roman"/>
                <w:kern w:val="0"/>
                <w:sz w:val="24"/>
                <w:szCs w:val="24"/>
              </w:rPr>
            </w:pPr>
            <w:r w:rsidRPr="002709DF">
              <w:rPr>
                <w:rFonts w:ascii="黑体" w:eastAsia="黑体" w:hAnsi="黑体" w:cs="黑体" w:hint="eastAsia"/>
                <w:kern w:val="0"/>
                <w:sz w:val="23"/>
                <w:szCs w:val="23"/>
              </w:rPr>
              <w:t>依申请</w:t>
            </w:r>
          </w:p>
        </w:tc>
        <w:tc>
          <w:tcPr>
            <w:tcW w:w="493" w:type="pct"/>
            <w:vMerge/>
            <w:tcBorders>
              <w:left w:val="single" w:sz="6" w:space="0" w:color="auto"/>
              <w:bottom w:val="single" w:sz="6" w:space="0" w:color="auto"/>
              <w:right w:val="single" w:sz="6" w:space="0" w:color="auto"/>
            </w:tcBorders>
            <w:vAlign w:val="center"/>
          </w:tcPr>
          <w:p w:rsidR="00D13D7B" w:rsidRDefault="00D13D7B" w:rsidP="00D13D7B">
            <w:pPr>
              <w:widowControl/>
              <w:jc w:val="center"/>
              <w:rPr>
                <w:rFonts w:ascii="黑体" w:eastAsia="黑体" w:hAnsi="黑体" w:cs="Times New Roman"/>
                <w:kern w:val="0"/>
                <w:sz w:val="23"/>
                <w:szCs w:val="23"/>
              </w:rPr>
            </w:pP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1</w:t>
            </w:r>
          </w:p>
        </w:tc>
        <w:tc>
          <w:tcPr>
            <w:tcW w:w="26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部门文件</w:t>
            </w:r>
          </w:p>
        </w:tc>
        <w:tc>
          <w:tcPr>
            <w:tcW w:w="4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农村危房改造相关文件</w:t>
            </w:r>
          </w:p>
        </w:tc>
        <w:tc>
          <w:tcPr>
            <w:tcW w:w="100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文件分类、生成日期、标题、文号、有效性、关键词和具体内容等</w:t>
            </w:r>
          </w:p>
        </w:tc>
        <w:tc>
          <w:tcPr>
            <w:tcW w:w="69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《政府信息公开条例》、《关于全面推进政务公开工作的意见》及其实施细则</w:t>
            </w: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rHeight w:val="1035"/>
          <w:tblCellSpacing w:w="0" w:type="dxa"/>
          <w:jc w:val="center"/>
        </w:trPr>
        <w:tc>
          <w:tcPr>
            <w:tcW w:w="20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2</w:t>
            </w:r>
          </w:p>
        </w:tc>
        <w:tc>
          <w:tcPr>
            <w:tcW w:w="260"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政策解读</w:t>
            </w:r>
          </w:p>
        </w:tc>
        <w:tc>
          <w:tcPr>
            <w:tcW w:w="4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上级政策解读</w:t>
            </w:r>
          </w:p>
        </w:tc>
        <w:tc>
          <w:tcPr>
            <w:tcW w:w="1000"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着重解读政策措施的背景依据、目标任务、主要内容、涉及范围、执行标准，以及注意事项、关键词诠释、惠民利民举措、新旧政策差异等。</w:t>
            </w:r>
          </w:p>
        </w:tc>
        <w:tc>
          <w:tcPr>
            <w:tcW w:w="698"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《政府信息公开条例》、《关于全面推进政务公开工作的意见》及其实施细则</w:t>
            </w:r>
          </w:p>
        </w:tc>
        <w:tc>
          <w:tcPr>
            <w:tcW w:w="497"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vMerge w:val="restart"/>
            <w:tcBorders>
              <w:top w:val="single" w:sz="6" w:space="0" w:color="auto"/>
              <w:left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3</w:t>
            </w:r>
          </w:p>
        </w:tc>
        <w:tc>
          <w:tcPr>
            <w:tcW w:w="260"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本级政策解读</w:t>
            </w:r>
          </w:p>
        </w:tc>
        <w:tc>
          <w:tcPr>
            <w:tcW w:w="1000"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97"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C93435">
            <w:pPr>
              <w:widowControl/>
              <w:jc w:val="center"/>
              <w:rPr>
                <w:rFonts w:ascii="仿宋_GB2312" w:eastAsia="仿宋_GB2312" w:hAnsi="宋体" w:cs="仿宋_GB2312"/>
                <w:kern w:val="0"/>
                <w:sz w:val="18"/>
                <w:szCs w:val="18"/>
              </w:rPr>
            </w:pPr>
          </w:p>
        </w:tc>
        <w:tc>
          <w:tcPr>
            <w:tcW w:w="547"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C93435">
            <w:pPr>
              <w:widowControl/>
              <w:jc w:val="left"/>
              <w:rPr>
                <w:rFonts w:ascii="仿宋_GB2312" w:eastAsia="仿宋_GB2312" w:hAnsi="宋体" w:cs="仿宋_GB2312"/>
                <w:kern w:val="0"/>
                <w:sz w:val="18"/>
                <w:szCs w:val="18"/>
              </w:rPr>
            </w:pPr>
          </w:p>
        </w:tc>
        <w:tc>
          <w:tcPr>
            <w:tcW w:w="243"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16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246"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vMerge/>
            <w:tcBorders>
              <w:left w:val="single" w:sz="6" w:space="0" w:color="auto"/>
              <w:bottom w:val="single" w:sz="6" w:space="0" w:color="auto"/>
              <w:right w:val="single" w:sz="6" w:space="0" w:color="auto"/>
            </w:tcBorders>
            <w:vAlign w:val="center"/>
          </w:tcPr>
          <w:p w:rsidR="00D13D7B" w:rsidRPr="00C93435" w:rsidRDefault="00D13D7B" w:rsidP="00D13D7B">
            <w:pPr>
              <w:widowControl/>
              <w:jc w:val="center"/>
              <w:rPr>
                <w:rFonts w:ascii="仿宋_GB2312" w:eastAsia="仿宋_GB2312" w:hAnsi="宋体" w:cs="仿宋_GB2312"/>
                <w:kern w:val="0"/>
                <w:sz w:val="18"/>
                <w:szCs w:val="18"/>
              </w:rPr>
            </w:pPr>
          </w:p>
        </w:tc>
      </w:tr>
      <w:tr w:rsidR="00D13D7B" w:rsidRPr="00C93435" w:rsidTr="00D13D7B">
        <w:trPr>
          <w:trHeight w:val="1133"/>
          <w:tblCellSpacing w:w="0" w:type="dxa"/>
          <w:jc w:val="center"/>
        </w:trPr>
        <w:tc>
          <w:tcPr>
            <w:tcW w:w="20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4</w:t>
            </w:r>
          </w:p>
        </w:tc>
        <w:tc>
          <w:tcPr>
            <w:tcW w:w="260"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计划实施</w:t>
            </w:r>
          </w:p>
        </w:tc>
        <w:tc>
          <w:tcPr>
            <w:tcW w:w="4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任务分配</w:t>
            </w:r>
          </w:p>
        </w:tc>
        <w:tc>
          <w:tcPr>
            <w:tcW w:w="100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及时公开农村危房改造补助农户名单</w:t>
            </w:r>
          </w:p>
        </w:tc>
        <w:tc>
          <w:tcPr>
            <w:tcW w:w="698"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《住房城乡建设部</w:t>
            </w:r>
            <w:r w:rsidRPr="002709DF">
              <w:rPr>
                <w:rFonts w:ascii="仿宋_GB2312" w:eastAsia="仿宋_GB2312" w:hAnsi="宋体" w:cs="仿宋_GB2312"/>
                <w:kern w:val="0"/>
                <w:sz w:val="18"/>
                <w:szCs w:val="18"/>
              </w:rPr>
              <w:t xml:space="preserve"> </w:t>
            </w:r>
            <w:r w:rsidRPr="002709DF">
              <w:rPr>
                <w:rFonts w:ascii="仿宋_GB2312" w:eastAsia="仿宋_GB2312" w:hAnsi="宋体" w:cs="仿宋_GB2312" w:hint="eastAsia"/>
                <w:kern w:val="0"/>
                <w:sz w:val="18"/>
                <w:szCs w:val="18"/>
              </w:rPr>
              <w:t>财政部</w:t>
            </w:r>
            <w:r w:rsidRPr="002709DF">
              <w:rPr>
                <w:rFonts w:ascii="仿宋_GB2312" w:eastAsia="仿宋_GB2312" w:hAnsi="宋体" w:cs="仿宋_GB2312"/>
                <w:kern w:val="0"/>
                <w:sz w:val="18"/>
                <w:szCs w:val="18"/>
              </w:rPr>
              <w:t xml:space="preserve"> </w:t>
            </w:r>
            <w:r w:rsidRPr="002709DF">
              <w:rPr>
                <w:rFonts w:ascii="仿宋_GB2312" w:eastAsia="仿宋_GB2312" w:hAnsi="宋体" w:cs="仿宋_GB2312" w:hint="eastAsia"/>
                <w:kern w:val="0"/>
                <w:sz w:val="18"/>
                <w:szCs w:val="18"/>
              </w:rPr>
              <w:t>国务院扶贫办关于加强和完善建档立卡贫困户等重点对象农村危房改造若干问题的通知》等</w:t>
            </w: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分配结果确定后</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5</w:t>
            </w:r>
          </w:p>
        </w:tc>
        <w:tc>
          <w:tcPr>
            <w:tcW w:w="260"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47"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组织培训</w:t>
            </w:r>
          </w:p>
        </w:tc>
        <w:tc>
          <w:tcPr>
            <w:tcW w:w="100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组织开展农村建筑工匠培训文件</w:t>
            </w: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lastRenderedPageBreak/>
              <w:t>6</w:t>
            </w:r>
          </w:p>
        </w:tc>
        <w:tc>
          <w:tcPr>
            <w:tcW w:w="260"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条件与标准</w:t>
            </w:r>
          </w:p>
        </w:tc>
        <w:tc>
          <w:tcPr>
            <w:tcW w:w="4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农村危房等级评定标准</w:t>
            </w:r>
          </w:p>
        </w:tc>
        <w:tc>
          <w:tcPr>
            <w:tcW w:w="100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农村危房等级评定相关标准</w:t>
            </w:r>
          </w:p>
        </w:tc>
        <w:tc>
          <w:tcPr>
            <w:tcW w:w="698"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《预算法》、《政府信息公开条例》、《住房城乡建设部</w:t>
            </w:r>
            <w:r w:rsidRPr="002709DF">
              <w:rPr>
                <w:rFonts w:ascii="仿宋_GB2312" w:eastAsia="仿宋_GB2312" w:hAnsi="宋体" w:cs="仿宋_GB2312"/>
                <w:kern w:val="0"/>
                <w:sz w:val="18"/>
                <w:szCs w:val="18"/>
              </w:rPr>
              <w:t xml:space="preserve"> </w:t>
            </w:r>
            <w:r w:rsidRPr="002709DF">
              <w:rPr>
                <w:rFonts w:ascii="仿宋_GB2312" w:eastAsia="仿宋_GB2312" w:hAnsi="宋体" w:cs="仿宋_GB2312" w:hint="eastAsia"/>
                <w:kern w:val="0"/>
                <w:sz w:val="18"/>
                <w:szCs w:val="18"/>
              </w:rPr>
              <w:t>财政部关于印发农村危房改造脱贫攻坚三年行动方案的通知》、《住房城乡建设部</w:t>
            </w:r>
            <w:r w:rsidRPr="002709DF">
              <w:rPr>
                <w:rFonts w:ascii="仿宋_GB2312" w:eastAsia="仿宋_GB2312" w:hAnsi="宋体" w:cs="仿宋_GB2312"/>
                <w:kern w:val="0"/>
                <w:sz w:val="18"/>
                <w:szCs w:val="18"/>
              </w:rPr>
              <w:t xml:space="preserve"> </w:t>
            </w:r>
            <w:r w:rsidRPr="002709DF">
              <w:rPr>
                <w:rFonts w:ascii="仿宋_GB2312" w:eastAsia="仿宋_GB2312" w:hAnsi="宋体" w:cs="仿宋_GB2312" w:hint="eastAsia"/>
                <w:kern w:val="0"/>
                <w:sz w:val="18"/>
                <w:szCs w:val="18"/>
              </w:rPr>
              <w:t>财政部</w:t>
            </w:r>
            <w:r w:rsidRPr="002709DF">
              <w:rPr>
                <w:rFonts w:ascii="仿宋_GB2312" w:eastAsia="仿宋_GB2312" w:hAnsi="宋体" w:cs="仿宋_GB2312"/>
                <w:kern w:val="0"/>
                <w:sz w:val="18"/>
                <w:szCs w:val="18"/>
              </w:rPr>
              <w:t xml:space="preserve"> </w:t>
            </w:r>
            <w:r w:rsidRPr="002709DF">
              <w:rPr>
                <w:rFonts w:ascii="仿宋_GB2312" w:eastAsia="仿宋_GB2312" w:hAnsi="宋体" w:cs="仿宋_GB2312" w:hint="eastAsia"/>
                <w:kern w:val="0"/>
                <w:sz w:val="18"/>
                <w:szCs w:val="18"/>
              </w:rPr>
              <w:t>国务院扶贫办关于加强和完善建档立卡贫困户等重点对象农村危房改造若干问题的通知》等</w:t>
            </w: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7</w:t>
            </w:r>
          </w:p>
        </w:tc>
        <w:tc>
          <w:tcPr>
            <w:tcW w:w="260"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47"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农村危房改造对象申请条件</w:t>
            </w:r>
          </w:p>
        </w:tc>
        <w:tc>
          <w:tcPr>
            <w:tcW w:w="100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农村危房改造农户申请条件</w:t>
            </w: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8</w:t>
            </w:r>
          </w:p>
        </w:tc>
        <w:tc>
          <w:tcPr>
            <w:tcW w:w="260"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47"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农村危房改造资金补助标准</w:t>
            </w:r>
          </w:p>
        </w:tc>
        <w:tc>
          <w:tcPr>
            <w:tcW w:w="100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农村危房改造资金补助标准</w:t>
            </w: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9</w:t>
            </w:r>
          </w:p>
        </w:tc>
        <w:tc>
          <w:tcPr>
            <w:tcW w:w="260"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47"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农村危房改造竣工合格标准</w:t>
            </w:r>
          </w:p>
        </w:tc>
        <w:tc>
          <w:tcPr>
            <w:tcW w:w="100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农村危房改造竣工验收要求</w:t>
            </w: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10</w:t>
            </w:r>
          </w:p>
        </w:tc>
        <w:tc>
          <w:tcPr>
            <w:tcW w:w="260" w:type="pct"/>
            <w:vMerge w:val="restar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对象认定</w:t>
            </w:r>
          </w:p>
        </w:tc>
        <w:tc>
          <w:tcPr>
            <w:tcW w:w="447"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proofErr w:type="gramStart"/>
            <w:r w:rsidRPr="002709DF">
              <w:rPr>
                <w:rFonts w:ascii="仿宋_GB2312" w:eastAsia="仿宋_GB2312" w:hAnsi="宋体" w:cs="仿宋_GB2312" w:hint="eastAsia"/>
                <w:kern w:val="0"/>
                <w:sz w:val="18"/>
                <w:szCs w:val="18"/>
              </w:rPr>
              <w:t>危改户</w:t>
            </w:r>
            <w:proofErr w:type="gramEnd"/>
            <w:r w:rsidRPr="002709DF">
              <w:rPr>
                <w:rFonts w:ascii="仿宋_GB2312" w:eastAsia="仿宋_GB2312" w:hAnsi="宋体" w:cs="仿宋_GB2312" w:hint="eastAsia"/>
                <w:kern w:val="0"/>
                <w:sz w:val="18"/>
                <w:szCs w:val="18"/>
              </w:rPr>
              <w:t>认定程序</w:t>
            </w:r>
          </w:p>
        </w:tc>
        <w:tc>
          <w:tcPr>
            <w:tcW w:w="100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农村危房改造申请程序</w:t>
            </w: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rHeight w:val="1248"/>
          <w:tblCellSpacing w:w="0" w:type="dxa"/>
          <w:jc w:val="center"/>
        </w:trPr>
        <w:tc>
          <w:tcPr>
            <w:tcW w:w="204"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11</w:t>
            </w:r>
          </w:p>
        </w:tc>
        <w:tc>
          <w:tcPr>
            <w:tcW w:w="260"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47"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认定结果</w:t>
            </w:r>
          </w:p>
        </w:tc>
        <w:tc>
          <w:tcPr>
            <w:tcW w:w="100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认定结果</w:t>
            </w: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12</w:t>
            </w:r>
          </w:p>
        </w:tc>
        <w:tc>
          <w:tcPr>
            <w:tcW w:w="26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预算管理</w:t>
            </w:r>
          </w:p>
        </w:tc>
        <w:tc>
          <w:tcPr>
            <w:tcW w:w="447"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预算编制和执行情况</w:t>
            </w:r>
          </w:p>
        </w:tc>
        <w:tc>
          <w:tcPr>
            <w:tcW w:w="100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预算、预算调整、决算、预算执行情况的报告及报表有关内容，部门预算、决算及报表有关内容</w:t>
            </w: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经县级人民代表大会、人民代表大会常务委员会批准或财政部门批复后</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lastRenderedPageBreak/>
              <w:t>13</w:t>
            </w:r>
          </w:p>
        </w:tc>
        <w:tc>
          <w:tcPr>
            <w:tcW w:w="26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决策部署</w:t>
            </w:r>
          </w:p>
        </w:tc>
        <w:tc>
          <w:tcPr>
            <w:tcW w:w="4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决策部署落实情况</w:t>
            </w:r>
          </w:p>
        </w:tc>
        <w:tc>
          <w:tcPr>
            <w:tcW w:w="100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决策部署落实情况等</w:t>
            </w:r>
          </w:p>
        </w:tc>
        <w:tc>
          <w:tcPr>
            <w:tcW w:w="698"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《关于全面推进政务公开工作的意见》及其实施细则</w:t>
            </w: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14</w:t>
            </w:r>
          </w:p>
        </w:tc>
        <w:tc>
          <w:tcPr>
            <w:tcW w:w="26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年度任务实施</w:t>
            </w:r>
          </w:p>
        </w:tc>
        <w:tc>
          <w:tcPr>
            <w:tcW w:w="447"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年度任务执行情况</w:t>
            </w:r>
          </w:p>
        </w:tc>
        <w:tc>
          <w:tcPr>
            <w:tcW w:w="100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年度工作完成情况等</w:t>
            </w: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15</w:t>
            </w:r>
          </w:p>
        </w:tc>
        <w:tc>
          <w:tcPr>
            <w:tcW w:w="260"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舆情收集、热点及关键问题回应</w:t>
            </w:r>
          </w:p>
        </w:tc>
        <w:tc>
          <w:tcPr>
            <w:tcW w:w="4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舆情收集回应</w:t>
            </w:r>
          </w:p>
        </w:tc>
        <w:tc>
          <w:tcPr>
            <w:tcW w:w="100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接受投诉、咨询、建议等联系电话、通信地址等</w:t>
            </w:r>
          </w:p>
        </w:tc>
        <w:tc>
          <w:tcPr>
            <w:tcW w:w="698"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《政府信息公开条例》、《关于全面推进政务公开工作的意见》及其实施细则</w:t>
            </w: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ind w:right="-300"/>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信息形成之日</w:t>
            </w:r>
          </w:p>
          <w:p w:rsidR="00D13D7B" w:rsidRPr="00C93435" w:rsidRDefault="00D13D7B" w:rsidP="00C93435">
            <w:pPr>
              <w:widowControl/>
              <w:ind w:right="-300"/>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起</w:t>
            </w:r>
            <w:r w:rsidRPr="002709DF">
              <w:rPr>
                <w:rFonts w:ascii="仿宋_GB2312" w:eastAsia="仿宋_GB2312" w:hAnsi="宋体" w:cs="仿宋_GB2312"/>
                <w:kern w:val="0"/>
                <w:sz w:val="18"/>
                <w:szCs w:val="18"/>
              </w:rPr>
              <w:t>20</w:t>
            </w:r>
            <w:r w:rsidRPr="002709DF">
              <w:rPr>
                <w:rFonts w:ascii="仿宋_GB2312" w:eastAsia="仿宋_GB2312" w:hAnsi="宋体" w:cs="仿宋_GB2312" w:hint="eastAsia"/>
                <w:kern w:val="0"/>
                <w:sz w:val="18"/>
                <w:szCs w:val="18"/>
              </w:rPr>
              <w:t>个工作日</w:t>
            </w:r>
          </w:p>
          <w:p w:rsidR="00D13D7B" w:rsidRPr="00C93435" w:rsidRDefault="00D13D7B" w:rsidP="00C93435">
            <w:pPr>
              <w:widowControl/>
              <w:ind w:right="-300"/>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内</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r w:rsidR="00D13D7B" w:rsidRPr="00C93435" w:rsidTr="00D13D7B">
        <w:trPr>
          <w:tblCellSpacing w:w="0" w:type="dxa"/>
          <w:jc w:val="center"/>
        </w:trPr>
        <w:tc>
          <w:tcPr>
            <w:tcW w:w="204"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C93435">
              <w:rPr>
                <w:rFonts w:ascii="仿宋_GB2312" w:eastAsia="仿宋_GB2312" w:hAnsi="宋体" w:cs="仿宋_GB2312"/>
                <w:kern w:val="0"/>
                <w:sz w:val="18"/>
                <w:szCs w:val="18"/>
              </w:rPr>
              <w:t>16</w:t>
            </w:r>
          </w:p>
        </w:tc>
        <w:tc>
          <w:tcPr>
            <w:tcW w:w="260"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47"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互动回应</w:t>
            </w:r>
          </w:p>
        </w:tc>
        <w:tc>
          <w:tcPr>
            <w:tcW w:w="1000"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涉及群众切身利益和舆论关注的焦点、热点及关键问题等回应内容</w:t>
            </w:r>
          </w:p>
        </w:tc>
        <w:tc>
          <w:tcPr>
            <w:tcW w:w="698" w:type="pct"/>
            <w:vMerge/>
            <w:tcBorders>
              <w:top w:val="single" w:sz="6" w:space="0" w:color="auto"/>
              <w:left w:val="single" w:sz="6" w:space="0" w:color="auto"/>
              <w:bottom w:val="single" w:sz="6" w:space="0" w:color="auto"/>
              <w:right w:val="single" w:sz="6" w:space="0" w:color="auto"/>
            </w:tcBorders>
            <w:vAlign w:val="center"/>
          </w:tcPr>
          <w:p w:rsidR="00D13D7B" w:rsidRPr="00C93435" w:rsidRDefault="00D13D7B" w:rsidP="002709DF">
            <w:pPr>
              <w:widowControl/>
              <w:jc w:val="left"/>
              <w:rPr>
                <w:rFonts w:ascii="仿宋_GB2312" w:eastAsia="仿宋_GB2312" w:hAnsi="宋体" w:cs="仿宋_GB2312"/>
                <w:kern w:val="0"/>
                <w:sz w:val="18"/>
                <w:szCs w:val="18"/>
              </w:rPr>
            </w:pPr>
          </w:p>
        </w:tc>
        <w:tc>
          <w:tcPr>
            <w:tcW w:w="4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及时发布信息；对涉及重大舆情的，要快速反应，并根据工作进展情况，持续发布信息。</w:t>
            </w:r>
          </w:p>
        </w:tc>
        <w:tc>
          <w:tcPr>
            <w:tcW w:w="54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C93435">
            <w:pPr>
              <w:jc w:val="left"/>
              <w:rPr>
                <w:rFonts w:ascii="仿宋_GB2312" w:eastAsia="仿宋_GB2312" w:hAnsi="宋体" w:cs="仿宋_GB2312"/>
                <w:kern w:val="0"/>
                <w:sz w:val="18"/>
                <w:szCs w:val="18"/>
              </w:rPr>
            </w:pPr>
            <w:r w:rsidRPr="00C93435">
              <w:rPr>
                <w:rFonts w:ascii="仿宋_GB2312" w:eastAsia="仿宋_GB2312" w:hAnsi="宋体" w:cs="仿宋_GB2312" w:hint="eastAsia"/>
                <w:kern w:val="0"/>
                <w:sz w:val="18"/>
                <w:szCs w:val="18"/>
              </w:rPr>
              <w:t>灌南县住房和城乡建设局</w:t>
            </w:r>
            <w:r w:rsidRPr="00C93435">
              <w:rPr>
                <w:rFonts w:ascii="仿宋_GB2312" w:eastAsia="仿宋_GB2312" w:hAnsi="宋体" w:cs="仿宋_GB2312" w:hint="eastAsia"/>
                <w:kern w:val="0"/>
                <w:sz w:val="18"/>
                <w:szCs w:val="18"/>
              </w:rPr>
              <w:t>城镇科</w:t>
            </w:r>
          </w:p>
        </w:tc>
        <w:tc>
          <w:tcPr>
            <w:tcW w:w="24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2709DF">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16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19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r w:rsidRPr="002709DF">
              <w:rPr>
                <w:rFonts w:ascii="仿宋_GB2312" w:eastAsia="仿宋_GB2312" w:hAnsi="宋体" w:cs="仿宋_GB2312" w:hint="eastAsia"/>
                <w:kern w:val="0"/>
                <w:sz w:val="18"/>
                <w:szCs w:val="18"/>
              </w:rPr>
              <w:t>√</w:t>
            </w:r>
          </w:p>
        </w:tc>
        <w:tc>
          <w:tcPr>
            <w:tcW w:w="24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13D7B" w:rsidRPr="00C93435" w:rsidRDefault="00D13D7B" w:rsidP="00D13D7B">
            <w:pPr>
              <w:widowControl/>
              <w:jc w:val="center"/>
              <w:rPr>
                <w:rFonts w:ascii="仿宋_GB2312" w:eastAsia="仿宋_GB2312" w:hAnsi="宋体" w:cs="仿宋_GB2312"/>
                <w:kern w:val="0"/>
                <w:sz w:val="18"/>
                <w:szCs w:val="18"/>
              </w:rPr>
            </w:pPr>
          </w:p>
        </w:tc>
        <w:tc>
          <w:tcPr>
            <w:tcW w:w="493" w:type="pct"/>
            <w:tcBorders>
              <w:top w:val="single" w:sz="6" w:space="0" w:color="auto"/>
              <w:left w:val="single" w:sz="6" w:space="0" w:color="auto"/>
              <w:bottom w:val="single" w:sz="6" w:space="0" w:color="auto"/>
              <w:right w:val="single" w:sz="6" w:space="0" w:color="auto"/>
            </w:tcBorders>
            <w:vAlign w:val="center"/>
          </w:tcPr>
          <w:p w:rsidR="00D13D7B" w:rsidRPr="00C93435" w:rsidRDefault="00D13D7B" w:rsidP="00D13D7B">
            <w:pPr>
              <w:jc w:val="center"/>
              <w:rPr>
                <w:rFonts w:ascii="仿宋_GB2312" w:eastAsia="仿宋_GB2312" w:hAnsi="宋体" w:cs="仿宋_GB2312"/>
                <w:kern w:val="0"/>
                <w:sz w:val="18"/>
                <w:szCs w:val="18"/>
              </w:rPr>
            </w:pPr>
            <w:r w:rsidRPr="00C81425">
              <w:rPr>
                <w:rFonts w:ascii="仿宋_GB2312" w:eastAsia="仿宋_GB2312" w:hAnsi="宋体" w:cs="仿宋_GB2312" w:hint="eastAsia"/>
                <w:kern w:val="0"/>
                <w:sz w:val="18"/>
                <w:szCs w:val="18"/>
              </w:rPr>
              <w:t>政府网站</w:t>
            </w:r>
          </w:p>
        </w:tc>
      </w:tr>
    </w:tbl>
    <w:p w:rsidR="00D65C36" w:rsidRPr="00C93435" w:rsidRDefault="00D65C36" w:rsidP="002709DF">
      <w:pPr>
        <w:widowControl/>
        <w:shd w:val="clear" w:color="auto" w:fill="FFFFFF"/>
        <w:jc w:val="left"/>
        <w:rPr>
          <w:rFonts w:ascii="仿宋_GB2312" w:eastAsia="仿宋_GB2312" w:hAnsi="宋体" w:cs="仿宋_GB2312"/>
          <w:kern w:val="0"/>
          <w:sz w:val="18"/>
          <w:szCs w:val="18"/>
        </w:rPr>
      </w:pPr>
    </w:p>
    <w:p w:rsidR="00D65C36" w:rsidRPr="00C93435" w:rsidRDefault="00D65C36" w:rsidP="002709DF">
      <w:pPr>
        <w:widowControl/>
        <w:shd w:val="clear" w:color="auto" w:fill="FFFFFF"/>
        <w:jc w:val="center"/>
        <w:rPr>
          <w:rFonts w:ascii="仿宋_GB2312" w:eastAsia="仿宋_GB2312" w:hAnsi="宋体" w:cs="仿宋_GB2312"/>
          <w:kern w:val="0"/>
          <w:sz w:val="18"/>
          <w:szCs w:val="18"/>
        </w:rPr>
      </w:pPr>
    </w:p>
    <w:p w:rsidR="00D65C36" w:rsidRPr="00C93435" w:rsidRDefault="00D65C36">
      <w:pPr>
        <w:rPr>
          <w:rFonts w:ascii="仿宋_GB2312" w:eastAsia="仿宋_GB2312" w:hAnsi="宋体" w:cs="仿宋_GB2312"/>
          <w:kern w:val="0"/>
          <w:sz w:val="18"/>
          <w:szCs w:val="18"/>
        </w:rPr>
      </w:pPr>
    </w:p>
    <w:sectPr w:rsidR="00D65C36" w:rsidRPr="00C93435" w:rsidSect="002709D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862" w:rsidRDefault="00A93862" w:rsidP="00C93435">
      <w:r>
        <w:separator/>
      </w:r>
    </w:p>
  </w:endnote>
  <w:endnote w:type="continuationSeparator" w:id="0">
    <w:p w:rsidR="00A93862" w:rsidRDefault="00A93862" w:rsidP="00C9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862" w:rsidRDefault="00A93862" w:rsidP="00C93435">
      <w:r>
        <w:separator/>
      </w:r>
    </w:p>
  </w:footnote>
  <w:footnote w:type="continuationSeparator" w:id="0">
    <w:p w:rsidR="00A93862" w:rsidRDefault="00A93862" w:rsidP="00C93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DF"/>
    <w:rsid w:val="00115DDC"/>
    <w:rsid w:val="001C6664"/>
    <w:rsid w:val="002709DF"/>
    <w:rsid w:val="003653A7"/>
    <w:rsid w:val="003859D0"/>
    <w:rsid w:val="006412B7"/>
    <w:rsid w:val="006A18F6"/>
    <w:rsid w:val="00701877"/>
    <w:rsid w:val="007B4B68"/>
    <w:rsid w:val="00801F6E"/>
    <w:rsid w:val="00813A0A"/>
    <w:rsid w:val="00817EB8"/>
    <w:rsid w:val="008837F9"/>
    <w:rsid w:val="008A4AF9"/>
    <w:rsid w:val="008C2248"/>
    <w:rsid w:val="008D0F60"/>
    <w:rsid w:val="008F26AD"/>
    <w:rsid w:val="009B29B8"/>
    <w:rsid w:val="00A93862"/>
    <w:rsid w:val="00AB09AA"/>
    <w:rsid w:val="00AE7E79"/>
    <w:rsid w:val="00C06C62"/>
    <w:rsid w:val="00C81425"/>
    <w:rsid w:val="00C93435"/>
    <w:rsid w:val="00D13D7B"/>
    <w:rsid w:val="00D65C36"/>
    <w:rsid w:val="00E83247"/>
    <w:rsid w:val="00F05E0D"/>
    <w:rsid w:val="00F30635"/>
    <w:rsid w:val="00FD1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0A"/>
    <w:pPr>
      <w:widowControl w:val="0"/>
      <w:jc w:val="both"/>
    </w:pPr>
    <w:rPr>
      <w:rFonts w:cs="Calibri"/>
      <w:szCs w:val="21"/>
    </w:rPr>
  </w:style>
  <w:style w:type="paragraph" w:styleId="2">
    <w:name w:val="heading 2"/>
    <w:basedOn w:val="a"/>
    <w:link w:val="2Char"/>
    <w:uiPriority w:val="99"/>
    <w:qFormat/>
    <w:rsid w:val="002709DF"/>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2709DF"/>
    <w:rPr>
      <w:rFonts w:ascii="宋体" w:eastAsia="宋体" w:hAnsi="宋体" w:cs="宋体"/>
      <w:b/>
      <w:bCs/>
      <w:kern w:val="0"/>
      <w:sz w:val="36"/>
      <w:szCs w:val="36"/>
    </w:rPr>
  </w:style>
  <w:style w:type="character" w:styleId="a3">
    <w:name w:val="Hyperlink"/>
    <w:basedOn w:val="a0"/>
    <w:uiPriority w:val="99"/>
    <w:semiHidden/>
    <w:rsid w:val="002709DF"/>
    <w:rPr>
      <w:color w:val="0000FF"/>
      <w:u w:val="single"/>
    </w:rPr>
  </w:style>
  <w:style w:type="paragraph" w:styleId="a4">
    <w:name w:val="Normal (Web)"/>
    <w:basedOn w:val="a"/>
    <w:uiPriority w:val="99"/>
    <w:rsid w:val="002709DF"/>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rsid w:val="002709DF"/>
    <w:rPr>
      <w:sz w:val="18"/>
      <w:szCs w:val="18"/>
    </w:rPr>
  </w:style>
  <w:style w:type="character" w:customStyle="1" w:styleId="Char">
    <w:name w:val="批注框文本 Char"/>
    <w:basedOn w:val="a0"/>
    <w:link w:val="a5"/>
    <w:uiPriority w:val="99"/>
    <w:semiHidden/>
    <w:locked/>
    <w:rsid w:val="002709DF"/>
    <w:rPr>
      <w:sz w:val="18"/>
      <w:szCs w:val="18"/>
    </w:rPr>
  </w:style>
  <w:style w:type="paragraph" w:styleId="a6">
    <w:name w:val="header"/>
    <w:basedOn w:val="a"/>
    <w:link w:val="Char0"/>
    <w:uiPriority w:val="99"/>
    <w:unhideWhenUsed/>
    <w:rsid w:val="00C934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93435"/>
    <w:rPr>
      <w:rFonts w:cs="Calibri"/>
      <w:sz w:val="18"/>
      <w:szCs w:val="18"/>
    </w:rPr>
  </w:style>
  <w:style w:type="paragraph" w:styleId="a7">
    <w:name w:val="footer"/>
    <w:basedOn w:val="a"/>
    <w:link w:val="Char1"/>
    <w:uiPriority w:val="99"/>
    <w:unhideWhenUsed/>
    <w:rsid w:val="00C93435"/>
    <w:pPr>
      <w:tabs>
        <w:tab w:val="center" w:pos="4153"/>
        <w:tab w:val="right" w:pos="8306"/>
      </w:tabs>
      <w:snapToGrid w:val="0"/>
      <w:jc w:val="left"/>
    </w:pPr>
    <w:rPr>
      <w:sz w:val="18"/>
      <w:szCs w:val="18"/>
    </w:rPr>
  </w:style>
  <w:style w:type="character" w:customStyle="1" w:styleId="Char1">
    <w:name w:val="页脚 Char"/>
    <w:basedOn w:val="a0"/>
    <w:link w:val="a7"/>
    <w:uiPriority w:val="99"/>
    <w:rsid w:val="00C93435"/>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0A"/>
    <w:pPr>
      <w:widowControl w:val="0"/>
      <w:jc w:val="both"/>
    </w:pPr>
    <w:rPr>
      <w:rFonts w:cs="Calibri"/>
      <w:szCs w:val="21"/>
    </w:rPr>
  </w:style>
  <w:style w:type="paragraph" w:styleId="2">
    <w:name w:val="heading 2"/>
    <w:basedOn w:val="a"/>
    <w:link w:val="2Char"/>
    <w:uiPriority w:val="99"/>
    <w:qFormat/>
    <w:rsid w:val="002709DF"/>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2709DF"/>
    <w:rPr>
      <w:rFonts w:ascii="宋体" w:eastAsia="宋体" w:hAnsi="宋体" w:cs="宋体"/>
      <w:b/>
      <w:bCs/>
      <w:kern w:val="0"/>
      <w:sz w:val="36"/>
      <w:szCs w:val="36"/>
    </w:rPr>
  </w:style>
  <w:style w:type="character" w:styleId="a3">
    <w:name w:val="Hyperlink"/>
    <w:basedOn w:val="a0"/>
    <w:uiPriority w:val="99"/>
    <w:semiHidden/>
    <w:rsid w:val="002709DF"/>
    <w:rPr>
      <w:color w:val="0000FF"/>
      <w:u w:val="single"/>
    </w:rPr>
  </w:style>
  <w:style w:type="paragraph" w:styleId="a4">
    <w:name w:val="Normal (Web)"/>
    <w:basedOn w:val="a"/>
    <w:uiPriority w:val="99"/>
    <w:rsid w:val="002709DF"/>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rsid w:val="002709DF"/>
    <w:rPr>
      <w:sz w:val="18"/>
      <w:szCs w:val="18"/>
    </w:rPr>
  </w:style>
  <w:style w:type="character" w:customStyle="1" w:styleId="Char">
    <w:name w:val="批注框文本 Char"/>
    <w:basedOn w:val="a0"/>
    <w:link w:val="a5"/>
    <w:uiPriority w:val="99"/>
    <w:semiHidden/>
    <w:locked/>
    <w:rsid w:val="002709DF"/>
    <w:rPr>
      <w:sz w:val="18"/>
      <w:szCs w:val="18"/>
    </w:rPr>
  </w:style>
  <w:style w:type="paragraph" w:styleId="a6">
    <w:name w:val="header"/>
    <w:basedOn w:val="a"/>
    <w:link w:val="Char0"/>
    <w:uiPriority w:val="99"/>
    <w:unhideWhenUsed/>
    <w:rsid w:val="00C934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93435"/>
    <w:rPr>
      <w:rFonts w:cs="Calibri"/>
      <w:sz w:val="18"/>
      <w:szCs w:val="18"/>
    </w:rPr>
  </w:style>
  <w:style w:type="paragraph" w:styleId="a7">
    <w:name w:val="footer"/>
    <w:basedOn w:val="a"/>
    <w:link w:val="Char1"/>
    <w:uiPriority w:val="99"/>
    <w:unhideWhenUsed/>
    <w:rsid w:val="00C93435"/>
    <w:pPr>
      <w:tabs>
        <w:tab w:val="center" w:pos="4153"/>
        <w:tab w:val="right" w:pos="8306"/>
      </w:tabs>
      <w:snapToGrid w:val="0"/>
      <w:jc w:val="left"/>
    </w:pPr>
    <w:rPr>
      <w:sz w:val="18"/>
      <w:szCs w:val="18"/>
    </w:rPr>
  </w:style>
  <w:style w:type="character" w:customStyle="1" w:styleId="Char1">
    <w:name w:val="页脚 Char"/>
    <w:basedOn w:val="a0"/>
    <w:link w:val="a7"/>
    <w:uiPriority w:val="99"/>
    <w:rsid w:val="00C93435"/>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3551">
      <w:marLeft w:val="0"/>
      <w:marRight w:val="0"/>
      <w:marTop w:val="0"/>
      <w:marBottom w:val="0"/>
      <w:divBdr>
        <w:top w:val="none" w:sz="0" w:space="0" w:color="auto"/>
        <w:left w:val="none" w:sz="0" w:space="0" w:color="auto"/>
        <w:bottom w:val="none" w:sz="0" w:space="0" w:color="auto"/>
        <w:right w:val="none" w:sz="0" w:space="0" w:color="auto"/>
      </w:divBdr>
      <w:divsChild>
        <w:div w:id="682823547">
          <w:marLeft w:val="-225"/>
          <w:marRight w:val="-225"/>
          <w:marTop w:val="0"/>
          <w:marBottom w:val="0"/>
          <w:divBdr>
            <w:top w:val="none" w:sz="0" w:space="0" w:color="auto"/>
            <w:left w:val="none" w:sz="0" w:space="0" w:color="auto"/>
            <w:bottom w:val="none" w:sz="0" w:space="0" w:color="auto"/>
            <w:right w:val="none" w:sz="0" w:space="0" w:color="auto"/>
          </w:divBdr>
          <w:divsChild>
            <w:div w:id="682823544">
              <w:marLeft w:val="0"/>
              <w:marRight w:val="0"/>
              <w:marTop w:val="0"/>
              <w:marBottom w:val="0"/>
              <w:divBdr>
                <w:top w:val="none" w:sz="0" w:space="0" w:color="auto"/>
                <w:left w:val="none" w:sz="0" w:space="0" w:color="auto"/>
                <w:bottom w:val="none" w:sz="0" w:space="0" w:color="auto"/>
                <w:right w:val="none" w:sz="0" w:space="0" w:color="auto"/>
              </w:divBdr>
              <w:divsChild>
                <w:div w:id="682823542">
                  <w:marLeft w:val="0"/>
                  <w:marRight w:val="0"/>
                  <w:marTop w:val="0"/>
                  <w:marBottom w:val="0"/>
                  <w:divBdr>
                    <w:top w:val="none" w:sz="0" w:space="0" w:color="auto"/>
                    <w:left w:val="none" w:sz="0" w:space="0" w:color="auto"/>
                    <w:bottom w:val="none" w:sz="0" w:space="0" w:color="auto"/>
                    <w:right w:val="none" w:sz="0" w:space="0" w:color="auto"/>
                  </w:divBdr>
                  <w:divsChild>
                    <w:div w:id="6828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3545">
              <w:marLeft w:val="0"/>
              <w:marRight w:val="0"/>
              <w:marTop w:val="0"/>
              <w:marBottom w:val="0"/>
              <w:divBdr>
                <w:top w:val="none" w:sz="0" w:space="0" w:color="auto"/>
                <w:left w:val="none" w:sz="0" w:space="0" w:color="auto"/>
                <w:bottom w:val="none" w:sz="0" w:space="0" w:color="auto"/>
                <w:right w:val="none" w:sz="0" w:space="0" w:color="auto"/>
              </w:divBdr>
            </w:div>
          </w:divsChild>
        </w:div>
        <w:div w:id="682823549">
          <w:marLeft w:val="0"/>
          <w:marRight w:val="0"/>
          <w:marTop w:val="360"/>
          <w:marBottom w:val="0"/>
          <w:divBdr>
            <w:top w:val="none" w:sz="0" w:space="0" w:color="auto"/>
            <w:left w:val="none" w:sz="0" w:space="0" w:color="auto"/>
            <w:bottom w:val="none" w:sz="0" w:space="0" w:color="auto"/>
            <w:right w:val="none" w:sz="0" w:space="0" w:color="auto"/>
          </w:divBdr>
          <w:divsChild>
            <w:div w:id="682823550">
              <w:marLeft w:val="0"/>
              <w:marRight w:val="75"/>
              <w:marTop w:val="0"/>
              <w:marBottom w:val="0"/>
              <w:divBdr>
                <w:top w:val="none" w:sz="0" w:space="0" w:color="auto"/>
                <w:left w:val="none" w:sz="0" w:space="0" w:color="auto"/>
                <w:bottom w:val="none" w:sz="0" w:space="0" w:color="auto"/>
                <w:right w:val="none" w:sz="0" w:space="0" w:color="auto"/>
              </w:divBdr>
            </w:div>
          </w:divsChild>
        </w:div>
        <w:div w:id="682823552">
          <w:marLeft w:val="0"/>
          <w:marRight w:val="0"/>
          <w:marTop w:val="0"/>
          <w:marBottom w:val="0"/>
          <w:divBdr>
            <w:top w:val="none" w:sz="0" w:space="0" w:color="auto"/>
            <w:left w:val="none" w:sz="0" w:space="0" w:color="auto"/>
            <w:bottom w:val="none" w:sz="0" w:space="0" w:color="auto"/>
            <w:right w:val="none" w:sz="0" w:space="0" w:color="auto"/>
          </w:divBdr>
          <w:divsChild>
            <w:div w:id="682823543">
              <w:marLeft w:val="0"/>
              <w:marRight w:val="0"/>
              <w:marTop w:val="0"/>
              <w:marBottom w:val="0"/>
              <w:divBdr>
                <w:top w:val="none" w:sz="0" w:space="0" w:color="auto"/>
                <w:left w:val="none" w:sz="0" w:space="0" w:color="auto"/>
                <w:bottom w:val="none" w:sz="0" w:space="0" w:color="auto"/>
                <w:right w:val="none" w:sz="0" w:space="0" w:color="auto"/>
              </w:divBdr>
              <w:divsChild>
                <w:div w:id="682823541">
                  <w:marLeft w:val="0"/>
                  <w:marRight w:val="0"/>
                  <w:marTop w:val="0"/>
                  <w:marBottom w:val="0"/>
                  <w:divBdr>
                    <w:top w:val="none" w:sz="0" w:space="0" w:color="auto"/>
                    <w:left w:val="none" w:sz="0" w:space="0" w:color="auto"/>
                    <w:bottom w:val="none" w:sz="0" w:space="0" w:color="auto"/>
                    <w:right w:val="none" w:sz="0" w:space="0" w:color="auto"/>
                  </w:divBdr>
                  <w:divsChild>
                    <w:div w:id="682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246</Words>
  <Characters>1404</Characters>
  <Application>Microsoft Office Word</Application>
  <DocSecurity>0</DocSecurity>
  <Lines>11</Lines>
  <Paragraphs>3</Paragraphs>
  <ScaleCrop>false</ScaleCrop>
  <Company>工在</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2</cp:revision>
  <dcterms:created xsi:type="dcterms:W3CDTF">2020-11-02T08:16:00Z</dcterms:created>
  <dcterms:modified xsi:type="dcterms:W3CDTF">2020-11-02T08:16:00Z</dcterms:modified>
</cp:coreProperties>
</file>