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灌南县基层政务公开事项目录表（试行）</w:t>
      </w:r>
    </w:p>
    <w:p>
      <w:pPr>
        <w:widowControl/>
        <w:textAlignment w:val="center"/>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kern w:val="0"/>
          <w:sz w:val="24"/>
          <w:lang w:bidi="ar"/>
        </w:rPr>
        <w:t>单位：</w:t>
      </w:r>
      <w:r>
        <w:rPr>
          <w:rFonts w:hint="eastAsia" w:ascii="楷体_GB2312" w:hAnsi="楷体_GB2312" w:eastAsia="楷体_GB2312" w:cs="楷体_GB2312"/>
          <w:color w:val="000000"/>
          <w:kern w:val="0"/>
          <w:sz w:val="24"/>
          <w:lang w:eastAsia="zh-CN" w:bidi="ar"/>
        </w:rPr>
        <w:t>连云港市灌南生态环境局</w:t>
      </w:r>
    </w:p>
    <w:tbl>
      <w:tblPr>
        <w:tblStyle w:val="3"/>
        <w:tblW w:w="14457" w:type="dxa"/>
        <w:jc w:val="center"/>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13"/>
        <w:gridCol w:w="615"/>
        <w:gridCol w:w="570"/>
        <w:gridCol w:w="615"/>
        <w:gridCol w:w="2535"/>
        <w:gridCol w:w="2520"/>
        <w:gridCol w:w="2520"/>
        <w:gridCol w:w="675"/>
        <w:gridCol w:w="705"/>
        <w:gridCol w:w="720"/>
        <w:gridCol w:w="795"/>
        <w:gridCol w:w="525"/>
        <w:gridCol w:w="1249"/>
      </w:tblGrid>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序号</w:t>
            </w:r>
          </w:p>
        </w:tc>
        <w:tc>
          <w:tcPr>
            <w:tcW w:w="615" w:type="dxa"/>
            <w:vMerge w:val="restart"/>
            <w:noWrap w:val="0"/>
            <w:tcMar>
              <w:top w:w="15" w:type="dxa"/>
              <w:left w:w="15" w:type="dxa"/>
              <w:right w:w="15" w:type="dxa"/>
            </w:tcMar>
            <w:vAlign w:val="center"/>
          </w:tcPr>
          <w:p>
            <w:pPr>
              <w:widowControl/>
              <w:spacing w:line="280" w:lineRule="exact"/>
              <w:jc w:val="center"/>
              <w:rPr>
                <w:rFonts w:eastAsia="黑体"/>
                <w:color w:val="000000"/>
                <w:szCs w:val="21"/>
              </w:rPr>
            </w:pPr>
            <w:r>
              <w:rPr>
                <w:rFonts w:eastAsia="黑体"/>
                <w:color w:val="000000"/>
                <w:kern w:val="0"/>
                <w:szCs w:val="21"/>
                <w:lang w:bidi="ar"/>
              </w:rPr>
              <w:t>过程</w:t>
            </w:r>
          </w:p>
        </w:tc>
        <w:tc>
          <w:tcPr>
            <w:tcW w:w="1185"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公开事项</w:t>
            </w:r>
          </w:p>
        </w:tc>
        <w:tc>
          <w:tcPr>
            <w:tcW w:w="2535"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公开内容</w:t>
            </w:r>
          </w:p>
        </w:tc>
        <w:tc>
          <w:tcPr>
            <w:tcW w:w="2520"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公开依据</w:t>
            </w:r>
          </w:p>
        </w:tc>
        <w:tc>
          <w:tcPr>
            <w:tcW w:w="2520"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公开时限</w:t>
            </w:r>
          </w:p>
        </w:tc>
        <w:tc>
          <w:tcPr>
            <w:tcW w:w="675"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kern w:val="0"/>
                <w:szCs w:val="21"/>
                <w:lang w:bidi="ar"/>
              </w:rPr>
            </w:pPr>
            <w:r>
              <w:rPr>
                <w:rFonts w:eastAsia="黑体"/>
                <w:color w:val="000000"/>
                <w:kern w:val="0"/>
                <w:szCs w:val="21"/>
                <w:lang w:bidi="ar"/>
              </w:rPr>
              <w:t>公开</w:t>
            </w:r>
          </w:p>
          <w:p>
            <w:pPr>
              <w:widowControl/>
              <w:spacing w:line="280" w:lineRule="exact"/>
              <w:jc w:val="center"/>
              <w:textAlignment w:val="center"/>
              <w:rPr>
                <w:rFonts w:eastAsia="黑体"/>
                <w:color w:val="000000"/>
                <w:szCs w:val="21"/>
              </w:rPr>
            </w:pPr>
            <w:r>
              <w:rPr>
                <w:rFonts w:eastAsia="黑体"/>
                <w:color w:val="000000"/>
                <w:kern w:val="0"/>
                <w:szCs w:val="21"/>
                <w:lang w:bidi="ar"/>
              </w:rPr>
              <w:t>主体</w:t>
            </w:r>
          </w:p>
        </w:tc>
        <w:tc>
          <w:tcPr>
            <w:tcW w:w="1425"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公开方式</w:t>
            </w:r>
          </w:p>
        </w:tc>
        <w:tc>
          <w:tcPr>
            <w:tcW w:w="1320"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公开对象</w:t>
            </w:r>
          </w:p>
        </w:tc>
        <w:tc>
          <w:tcPr>
            <w:tcW w:w="1249"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黑体"/>
                <w:color w:val="000000"/>
                <w:kern w:val="0"/>
                <w:szCs w:val="21"/>
                <w:lang w:bidi="ar"/>
              </w:rPr>
              <w:t>公开渠道</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vMerge w:val="continue"/>
            <w:noWrap w:val="0"/>
            <w:tcMar>
              <w:top w:w="15" w:type="dxa"/>
              <w:left w:w="15" w:type="dxa"/>
              <w:right w:w="15" w:type="dxa"/>
            </w:tcMar>
            <w:vAlign w:val="center"/>
          </w:tcPr>
          <w:p>
            <w:pPr>
              <w:widowControl/>
              <w:spacing w:line="280" w:lineRule="exact"/>
              <w:jc w:val="center"/>
              <w:rPr>
                <w:rFonts w:eastAsia="黑体"/>
                <w:color w:val="000000"/>
                <w:szCs w:val="21"/>
              </w:rPr>
            </w:pPr>
          </w:p>
        </w:tc>
        <w:tc>
          <w:tcPr>
            <w:tcW w:w="615" w:type="dxa"/>
            <w:vMerge w:val="continue"/>
            <w:noWrap w:val="0"/>
            <w:tcMar>
              <w:top w:w="15" w:type="dxa"/>
              <w:left w:w="15" w:type="dxa"/>
              <w:right w:w="15" w:type="dxa"/>
            </w:tcMar>
            <w:vAlign w:val="center"/>
          </w:tcPr>
          <w:p>
            <w:pPr>
              <w:widowControl/>
              <w:spacing w:line="280" w:lineRule="exact"/>
              <w:jc w:val="center"/>
              <w:rPr>
                <w:rFonts w:eastAsia="黑体"/>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一级事项</w:t>
            </w:r>
          </w:p>
        </w:tc>
        <w:tc>
          <w:tcPr>
            <w:tcW w:w="61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二级事项</w:t>
            </w:r>
          </w:p>
        </w:tc>
        <w:tc>
          <w:tcPr>
            <w:tcW w:w="2535" w:type="dxa"/>
            <w:vMerge w:val="continue"/>
            <w:noWrap w:val="0"/>
            <w:tcMar>
              <w:top w:w="15" w:type="dxa"/>
              <w:left w:w="15" w:type="dxa"/>
              <w:right w:w="15" w:type="dxa"/>
            </w:tcMar>
            <w:vAlign w:val="center"/>
          </w:tcPr>
          <w:p>
            <w:pPr>
              <w:widowControl/>
              <w:spacing w:line="280" w:lineRule="exact"/>
              <w:rPr>
                <w:rFonts w:eastAsia="黑体"/>
                <w:color w:val="000000"/>
                <w:szCs w:val="21"/>
              </w:rPr>
            </w:pPr>
          </w:p>
        </w:tc>
        <w:tc>
          <w:tcPr>
            <w:tcW w:w="2520" w:type="dxa"/>
            <w:vMerge w:val="continue"/>
            <w:noWrap w:val="0"/>
            <w:tcMar>
              <w:top w:w="15" w:type="dxa"/>
              <w:left w:w="15" w:type="dxa"/>
              <w:right w:w="15" w:type="dxa"/>
            </w:tcMar>
            <w:vAlign w:val="center"/>
          </w:tcPr>
          <w:p>
            <w:pPr>
              <w:widowControl/>
              <w:spacing w:line="280" w:lineRule="exact"/>
              <w:rPr>
                <w:rFonts w:eastAsia="黑体"/>
                <w:color w:val="000000"/>
                <w:szCs w:val="21"/>
              </w:rPr>
            </w:pPr>
          </w:p>
        </w:tc>
        <w:tc>
          <w:tcPr>
            <w:tcW w:w="2520" w:type="dxa"/>
            <w:vMerge w:val="continue"/>
            <w:noWrap w:val="0"/>
            <w:tcMar>
              <w:top w:w="15" w:type="dxa"/>
              <w:left w:w="15" w:type="dxa"/>
              <w:right w:w="15" w:type="dxa"/>
            </w:tcMar>
            <w:vAlign w:val="center"/>
          </w:tcPr>
          <w:p>
            <w:pPr>
              <w:widowControl/>
              <w:spacing w:line="280" w:lineRule="exact"/>
              <w:rPr>
                <w:rFonts w:eastAsia="黑体"/>
                <w:color w:val="000000"/>
                <w:szCs w:val="21"/>
              </w:rPr>
            </w:pPr>
          </w:p>
        </w:tc>
        <w:tc>
          <w:tcPr>
            <w:tcW w:w="675" w:type="dxa"/>
            <w:vMerge w:val="continue"/>
            <w:noWrap w:val="0"/>
            <w:tcMar>
              <w:top w:w="15" w:type="dxa"/>
              <w:left w:w="15" w:type="dxa"/>
              <w:right w:w="15" w:type="dxa"/>
            </w:tcMar>
            <w:vAlign w:val="center"/>
          </w:tcPr>
          <w:p>
            <w:pPr>
              <w:widowControl/>
              <w:spacing w:line="280" w:lineRule="exact"/>
              <w:jc w:val="center"/>
              <w:rPr>
                <w:rFonts w:eastAsia="黑体"/>
                <w:color w:val="000000"/>
                <w:szCs w:val="21"/>
              </w:rPr>
            </w:pPr>
          </w:p>
        </w:tc>
        <w:tc>
          <w:tcPr>
            <w:tcW w:w="705" w:type="dxa"/>
            <w:noWrap w:val="0"/>
            <w:tcMar>
              <w:top w:w="15" w:type="dxa"/>
              <w:left w:w="15" w:type="dxa"/>
              <w:right w:w="15" w:type="dxa"/>
            </w:tcMar>
            <w:vAlign w:val="center"/>
          </w:tcPr>
          <w:p>
            <w:pPr>
              <w:widowControl/>
              <w:spacing w:line="280" w:lineRule="exact"/>
              <w:jc w:val="center"/>
              <w:textAlignment w:val="center"/>
              <w:rPr>
                <w:rFonts w:eastAsia="黑体"/>
                <w:color w:val="000000"/>
                <w:kern w:val="0"/>
                <w:szCs w:val="21"/>
                <w:lang w:bidi="ar"/>
              </w:rPr>
            </w:pPr>
            <w:r>
              <w:rPr>
                <w:rFonts w:eastAsia="黑体"/>
                <w:color w:val="000000"/>
                <w:kern w:val="0"/>
                <w:szCs w:val="21"/>
                <w:lang w:bidi="ar"/>
              </w:rPr>
              <w:t>主动</w:t>
            </w:r>
          </w:p>
          <w:p>
            <w:pPr>
              <w:widowControl/>
              <w:spacing w:line="280" w:lineRule="exact"/>
              <w:jc w:val="center"/>
              <w:textAlignment w:val="center"/>
              <w:rPr>
                <w:rFonts w:eastAsia="黑体"/>
                <w:color w:val="000000"/>
                <w:szCs w:val="21"/>
              </w:rPr>
            </w:pPr>
            <w:r>
              <w:rPr>
                <w:rFonts w:eastAsia="黑体"/>
                <w:color w:val="000000"/>
                <w:kern w:val="0"/>
                <w:szCs w:val="21"/>
                <w:lang w:bidi="ar"/>
              </w:rPr>
              <w:t>公开</w:t>
            </w:r>
          </w:p>
        </w:tc>
        <w:tc>
          <w:tcPr>
            <w:tcW w:w="720"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依申请</w:t>
            </w:r>
          </w:p>
        </w:tc>
        <w:tc>
          <w:tcPr>
            <w:tcW w:w="79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全社会</w:t>
            </w:r>
          </w:p>
        </w:tc>
        <w:tc>
          <w:tcPr>
            <w:tcW w:w="52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rPr>
            </w:pPr>
            <w:r>
              <w:rPr>
                <w:rFonts w:eastAsia="黑体"/>
                <w:color w:val="000000"/>
                <w:kern w:val="0"/>
                <w:szCs w:val="21"/>
                <w:lang w:bidi="ar"/>
              </w:rPr>
              <w:t>特定群体</w:t>
            </w:r>
          </w:p>
        </w:tc>
        <w:tc>
          <w:tcPr>
            <w:tcW w:w="1249"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1</w:t>
            </w:r>
          </w:p>
        </w:tc>
        <w:tc>
          <w:tcPr>
            <w:tcW w:w="615"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决策</w:t>
            </w:r>
          </w:p>
        </w:tc>
        <w:tc>
          <w:tcPr>
            <w:tcW w:w="570"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政府文件</w:t>
            </w:r>
          </w:p>
        </w:tc>
        <w:tc>
          <w:tcPr>
            <w:tcW w:w="615" w:type="dxa"/>
            <w:vMerge w:val="restart"/>
            <w:noWrap w:val="0"/>
            <w:tcMar>
              <w:top w:w="15" w:type="dxa"/>
              <w:left w:w="15" w:type="dxa"/>
              <w:right w:w="15" w:type="dxa"/>
            </w:tcMar>
            <w:vAlign w:val="center"/>
          </w:tcPr>
          <w:p>
            <w:pPr>
              <w:widowControl/>
              <w:spacing w:line="300" w:lineRule="exact"/>
              <w:jc w:val="left"/>
              <w:textAlignment w:val="center"/>
              <w:rPr>
                <w:rFonts w:eastAsia="仿宋_GB2312"/>
                <w:color w:val="000000"/>
                <w:kern w:val="0"/>
                <w:szCs w:val="21"/>
                <w:lang w:bidi="ar"/>
              </w:rPr>
            </w:pPr>
            <w:r>
              <w:rPr>
                <w:rFonts w:eastAsia="仿宋_GB2312"/>
                <w:color w:val="000000"/>
                <w:kern w:val="0"/>
                <w:szCs w:val="21"/>
                <w:lang w:bidi="ar"/>
              </w:rPr>
              <w:t>部门文件</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kern w:val="0"/>
                <w:szCs w:val="21"/>
                <w:lang w:bidi="ar"/>
              </w:rPr>
            </w:pPr>
            <w:r>
              <w:rPr>
                <w:rFonts w:hint="eastAsia" w:eastAsia="仿宋_GB2312"/>
                <w:color w:val="000000"/>
                <w:kern w:val="0"/>
                <w:szCs w:val="21"/>
                <w:lang w:bidi="ar"/>
              </w:rPr>
              <w:t>本部门印发的规范性文件，本部门印发的除规范性文件以外的其他可以全文公开的文件。</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自该信息形成或者变更之日起20</w:t>
            </w:r>
            <w:r>
              <w:rPr>
                <w:rStyle w:val="5"/>
                <w:rFonts w:ascii="Times New Roman" w:hAnsi="Times New Roman" w:eastAsia="仿宋_GB2312" w:cs="Times New Roman"/>
                <w:sz w:val="21"/>
                <w:szCs w:val="21"/>
                <w:lang w:bidi="ar"/>
              </w:rPr>
              <w:t>个工作日内。</w:t>
            </w:r>
          </w:p>
        </w:tc>
        <w:tc>
          <w:tcPr>
            <w:tcW w:w="675" w:type="dxa"/>
            <w:noWrap w:val="0"/>
            <w:tcMar>
              <w:top w:w="15" w:type="dxa"/>
              <w:left w:w="15" w:type="dxa"/>
              <w:right w:w="15" w:type="dxa"/>
            </w:tcMar>
            <w:vAlign w:val="center"/>
          </w:tcPr>
          <w:p>
            <w:pPr>
              <w:widowControl/>
              <w:spacing w:line="300" w:lineRule="exact"/>
              <w:textAlignment w:val="center"/>
              <w:rPr>
                <w:rFonts w:eastAsia="仿宋_GB2312"/>
                <w:color w:val="000000"/>
                <w:kern w:val="0"/>
                <w:szCs w:val="21"/>
                <w:lang w:bidi="ar"/>
              </w:rPr>
            </w:pPr>
            <w:r>
              <w:rPr>
                <w:rFonts w:hint="eastAsia" w:eastAsia="仿宋_GB2312"/>
                <w:color w:val="000000"/>
                <w:kern w:val="0"/>
                <w:szCs w:val="21"/>
                <w:lang w:bidi="ar"/>
              </w:rPr>
              <w:t>办公室</w:t>
            </w:r>
          </w:p>
        </w:tc>
        <w:tc>
          <w:tcPr>
            <w:tcW w:w="70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6" w:hRule="atLeast"/>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2</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rPr>
            </w:pPr>
          </w:p>
        </w:tc>
        <w:tc>
          <w:tcPr>
            <w:tcW w:w="570"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rPr>
            </w:pP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公开属性为依申请公开的规范性文件名称、产生时间</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《中华人民共和国政府信息公开条例》（国务院令第711</w:t>
            </w:r>
            <w:r>
              <w:rPr>
                <w:rStyle w:val="5"/>
                <w:rFonts w:ascii="Times New Roman" w:hAnsi="Times New Roman" w:eastAsia="仿宋_GB2312" w:cs="Times New Roman"/>
                <w:sz w:val="21"/>
                <w:szCs w:val="21"/>
                <w:lang w:bidi="ar"/>
              </w:rPr>
              <w:t>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自该信息形成或者变更之日起20</w:t>
            </w:r>
            <w:r>
              <w:rPr>
                <w:rStyle w:val="5"/>
                <w:rFonts w:ascii="Times New Roman" w:hAnsi="Times New Roman" w:eastAsia="仿宋_GB2312" w:cs="Times New Roman"/>
                <w:sz w:val="21"/>
                <w:szCs w:val="21"/>
                <w:lang w:bidi="ar"/>
              </w:rPr>
              <w:t>个工作日内。</w:t>
            </w:r>
          </w:p>
        </w:tc>
        <w:tc>
          <w:tcPr>
            <w:tcW w:w="675" w:type="dxa"/>
            <w:noWrap w:val="0"/>
            <w:tcMar>
              <w:top w:w="15" w:type="dxa"/>
              <w:left w:w="15" w:type="dxa"/>
              <w:right w:w="15" w:type="dxa"/>
            </w:tcMar>
            <w:vAlign w:val="center"/>
          </w:tcPr>
          <w:p>
            <w:pPr>
              <w:widowControl/>
              <w:spacing w:line="300" w:lineRule="exact"/>
              <w:textAlignment w:val="center"/>
              <w:rPr>
                <w:rFonts w:eastAsia="仿宋_GB2312"/>
                <w:color w:val="000000"/>
                <w:kern w:val="0"/>
                <w:szCs w:val="21"/>
                <w:lang w:bidi="ar"/>
              </w:rPr>
            </w:pPr>
            <w:r>
              <w:rPr>
                <w:rFonts w:hint="eastAsia" w:eastAsia="仿宋_GB2312"/>
                <w:color w:val="000000"/>
                <w:kern w:val="0"/>
                <w:szCs w:val="21"/>
                <w:lang w:eastAsia="zh-CN" w:bidi="ar"/>
              </w:rPr>
              <w:t>宣教信息中心</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1249"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精准推送</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0" w:hRule="atLeast"/>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3</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rPr>
            </w:pPr>
          </w:p>
        </w:tc>
        <w:tc>
          <w:tcPr>
            <w:tcW w:w="570"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rPr>
            </w:pPr>
          </w:p>
        </w:tc>
        <w:tc>
          <w:tcPr>
            <w:tcW w:w="615"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规范性文件</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规范性文件的公众参与、专家论证、风险评估、集体讨论等程序开展情况；规范性文件备案信息、规范性文件清理结果、废止类规范性文件目录。</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《重大行政决策程序暂行条例》（国务院令第713号）；</w:t>
            </w:r>
            <w:r>
              <w:rPr>
                <w:rFonts w:eastAsia="仿宋_GB2312"/>
                <w:color w:val="000000"/>
                <w:kern w:val="0"/>
                <w:szCs w:val="21"/>
                <w:lang w:bidi="ar"/>
              </w:rPr>
              <w:br w:type="textWrapping"/>
            </w:r>
            <w:r>
              <w:rPr>
                <w:rFonts w:eastAsia="仿宋_GB2312"/>
                <w:color w:val="000000"/>
                <w:kern w:val="0"/>
                <w:szCs w:val="21"/>
                <w:lang w:bidi="ar"/>
              </w:rPr>
              <w:t>《国务院办公厅关于加强行政规范性文件制定和监督管理工作的通知》（国办发〔2018〕37号）；《法规规章备案条例》（国务院令第337号）。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300" w:lineRule="exact"/>
              <w:textAlignment w:val="center"/>
              <w:rPr>
                <w:rFonts w:hint="eastAsia" w:eastAsia="仿宋_GB2312"/>
                <w:color w:val="000000"/>
                <w:kern w:val="0"/>
                <w:szCs w:val="21"/>
                <w:lang w:bidi="ar"/>
              </w:rPr>
            </w:pPr>
            <w:r>
              <w:rPr>
                <w:rFonts w:hint="eastAsia" w:eastAsia="仿宋_GB2312"/>
                <w:color w:val="000000"/>
                <w:kern w:val="0"/>
                <w:szCs w:val="21"/>
                <w:lang w:bidi="ar"/>
              </w:rPr>
              <w:t>拟制文件的相关科室</w:t>
            </w:r>
          </w:p>
          <w:p>
            <w:pPr>
              <w:widowControl/>
              <w:spacing w:line="300" w:lineRule="exact"/>
              <w:textAlignment w:val="center"/>
              <w:rPr>
                <w:rFonts w:hint="eastAsia" w:eastAsia="仿宋_GB2312"/>
                <w:color w:val="000000"/>
                <w:kern w:val="0"/>
                <w:szCs w:val="21"/>
                <w:lang w:bidi="ar"/>
              </w:rPr>
            </w:pPr>
          </w:p>
          <w:p>
            <w:pPr>
              <w:widowControl/>
              <w:spacing w:line="300" w:lineRule="exact"/>
              <w:textAlignment w:val="center"/>
              <w:rPr>
                <w:rFonts w:hint="eastAsia" w:eastAsia="仿宋_GB2312"/>
                <w:color w:val="000000"/>
                <w:kern w:val="0"/>
                <w:szCs w:val="21"/>
                <w:lang w:eastAsia="zh-CN" w:bidi="ar"/>
              </w:rPr>
            </w:pPr>
            <w:r>
              <w:rPr>
                <w:rFonts w:hint="eastAsia" w:eastAsia="仿宋_GB2312"/>
                <w:color w:val="000000"/>
                <w:kern w:val="0"/>
                <w:szCs w:val="21"/>
                <w:lang w:eastAsia="zh-CN" w:bidi="ar"/>
              </w:rPr>
              <w:t>办公室</w:t>
            </w:r>
            <w:bookmarkStart w:id="0" w:name="_GoBack"/>
            <w:bookmarkEnd w:id="0"/>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0" w:hRule="atLeast"/>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4</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rPr>
            </w:pPr>
          </w:p>
        </w:tc>
        <w:tc>
          <w:tcPr>
            <w:tcW w:w="570"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重大决策</w:t>
            </w:r>
          </w:p>
        </w:tc>
        <w:tc>
          <w:tcPr>
            <w:tcW w:w="615"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r>
              <w:rPr>
                <w:rFonts w:eastAsia="仿宋_GB2312"/>
                <w:color w:val="000000"/>
                <w:kern w:val="0"/>
                <w:szCs w:val="21"/>
                <w:lang w:bidi="ar"/>
              </w:rPr>
              <w:t>意见征集</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公开涉及群众切身利益需要社会广泛知晓的重要改革方案、重大政策措施和重点工程项目等，通过听证座谈、网络征集、咨询协商、媒体沟通等多种形式向社会征求意见。</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《重大行政决策程序暂行条例》（国务院令第713</w:t>
            </w:r>
            <w:r>
              <w:rPr>
                <w:rStyle w:val="5"/>
                <w:rFonts w:ascii="Times New Roman" w:hAnsi="Times New Roman" w:eastAsia="仿宋_GB2312" w:cs="Times New Roman"/>
                <w:sz w:val="21"/>
                <w:szCs w:val="21"/>
                <w:lang w:bidi="ar"/>
              </w:rPr>
              <w:t>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300" w:lineRule="exact"/>
              <w:textAlignment w:val="center"/>
              <w:rPr>
                <w:rFonts w:eastAsia="仿宋_GB2312"/>
                <w:color w:val="000000"/>
                <w:kern w:val="0"/>
                <w:szCs w:val="21"/>
                <w:lang w:bidi="ar"/>
              </w:rPr>
            </w:pPr>
            <w:r>
              <w:rPr>
                <w:rFonts w:hint="eastAsia" w:eastAsia="仿宋_GB2312"/>
                <w:color w:val="000000"/>
                <w:kern w:val="0"/>
                <w:szCs w:val="21"/>
                <w:lang w:bidi="ar"/>
              </w:rPr>
              <w:t>拟制文件的相关科室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5</w:t>
            </w:r>
          </w:p>
        </w:tc>
        <w:tc>
          <w:tcPr>
            <w:tcW w:w="615" w:type="dxa"/>
            <w:vMerge w:val="continue"/>
            <w:noWrap w:val="0"/>
            <w:tcMar>
              <w:top w:w="15" w:type="dxa"/>
              <w:left w:w="15" w:type="dxa"/>
              <w:right w:w="15" w:type="dxa"/>
            </w:tcMar>
            <w:vAlign w:val="center"/>
          </w:tcPr>
          <w:p>
            <w:pPr>
              <w:widowControl/>
              <w:spacing w:line="300" w:lineRule="exact"/>
              <w:jc w:val="center"/>
              <w:textAlignment w:val="center"/>
              <w:rPr>
                <w:rFonts w:eastAsia="仿宋_GB2312"/>
                <w:color w:val="000000"/>
                <w:szCs w:val="21"/>
              </w:rPr>
            </w:pPr>
          </w:p>
        </w:tc>
        <w:tc>
          <w:tcPr>
            <w:tcW w:w="570"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615"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意见反馈</w:t>
            </w: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公布意见采纳情况及相对集</w:t>
            </w:r>
            <w:r>
              <w:rPr>
                <w:rFonts w:eastAsia="仿宋_GB2312"/>
                <w:color w:val="000000"/>
                <w:spacing w:val="-6"/>
                <w:kern w:val="0"/>
                <w:szCs w:val="21"/>
                <w:lang w:bidi="ar"/>
              </w:rPr>
              <w:t>中的意见未予采纳的原因。</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300" w:lineRule="exact"/>
              <w:textAlignment w:val="center"/>
              <w:rPr>
                <w:rFonts w:eastAsia="仿宋_GB2312"/>
                <w:color w:val="000000"/>
                <w:kern w:val="0"/>
                <w:szCs w:val="21"/>
                <w:lang w:bidi="ar"/>
              </w:rPr>
            </w:pPr>
            <w:r>
              <w:rPr>
                <w:rFonts w:hint="eastAsia" w:eastAsia="仿宋_GB2312"/>
                <w:color w:val="000000"/>
                <w:kern w:val="0"/>
                <w:szCs w:val="21"/>
                <w:lang w:bidi="ar"/>
              </w:rPr>
              <w:t>拟制文件的相关科室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6</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规划计划</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本部门中长期发展规划、年度工作计划和工作总结。</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《中华人民共和国政府信息公开条例》（国务院令第492号）；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300" w:lineRule="exact"/>
              <w:textAlignment w:val="center"/>
              <w:rPr>
                <w:rFonts w:eastAsia="仿宋_GB2312"/>
                <w:color w:val="000000"/>
                <w:kern w:val="0"/>
                <w:szCs w:val="21"/>
                <w:lang w:bidi="ar"/>
              </w:rPr>
            </w:pPr>
            <w:r>
              <w:rPr>
                <w:rFonts w:hint="eastAsia" w:eastAsia="仿宋_GB2312"/>
                <w:color w:val="000000"/>
                <w:kern w:val="0"/>
                <w:szCs w:val="21"/>
                <w:lang w:bidi="ar"/>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7</w:t>
            </w:r>
          </w:p>
        </w:tc>
        <w:tc>
          <w:tcPr>
            <w:tcW w:w="615" w:type="dxa"/>
            <w:vMerge w:val="restart"/>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执行和结果</w:t>
            </w: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决策部署落实情况</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重大决策、重要政策、政府工作报告、本部门年度重点工作任务的任务分解、执行和落实情况等信息。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300" w:lineRule="exact"/>
              <w:textAlignment w:val="center"/>
              <w:rPr>
                <w:rFonts w:eastAsia="仿宋_GB2312"/>
                <w:color w:val="000000"/>
                <w:kern w:val="0"/>
                <w:szCs w:val="21"/>
                <w:lang w:bidi="ar"/>
              </w:rPr>
            </w:pPr>
            <w:r>
              <w:rPr>
                <w:rFonts w:hint="eastAsia" w:eastAsia="仿宋_GB2312"/>
                <w:color w:val="000000"/>
                <w:kern w:val="0"/>
                <w:szCs w:val="21"/>
                <w:lang w:bidi="ar"/>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8</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FF0000"/>
                <w:szCs w:val="21"/>
              </w:rPr>
            </w:pPr>
            <w:r>
              <w:rPr>
                <w:rFonts w:eastAsia="仿宋_GB2312"/>
                <w:color w:val="000000"/>
                <w:kern w:val="0"/>
                <w:szCs w:val="21"/>
                <w:lang w:bidi="ar"/>
              </w:rPr>
              <w:t>建议提案办理</w:t>
            </w:r>
          </w:p>
        </w:tc>
        <w:tc>
          <w:tcPr>
            <w:tcW w:w="615" w:type="dxa"/>
            <w:noWrap w:val="0"/>
            <w:tcMar>
              <w:top w:w="15" w:type="dxa"/>
              <w:left w:w="15" w:type="dxa"/>
              <w:right w:w="15" w:type="dxa"/>
            </w:tcMar>
            <w:vAlign w:val="center"/>
          </w:tcPr>
          <w:p>
            <w:pPr>
              <w:widowControl/>
              <w:spacing w:line="280" w:lineRule="exact"/>
              <w:jc w:val="center"/>
              <w:rPr>
                <w:rFonts w:eastAsia="仿宋_GB2312"/>
                <w:color w:val="FF0000"/>
                <w:szCs w:val="21"/>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FF0000"/>
                <w:szCs w:val="21"/>
              </w:rPr>
            </w:pPr>
            <w:r>
              <w:rPr>
                <w:rFonts w:eastAsia="仿宋_GB2312"/>
                <w:color w:val="000000"/>
                <w:kern w:val="0"/>
                <w:szCs w:val="21"/>
                <w:lang w:bidi="ar"/>
              </w:rPr>
              <w:t>人大代表建议和政协委员提案办理工作制度、办理情况年度报告、办理答复。</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FF0000"/>
                <w:szCs w:val="21"/>
              </w:rPr>
            </w:pPr>
            <w:r>
              <w:rPr>
                <w:rFonts w:eastAsia="仿宋_GB2312"/>
                <w:color w:val="000000"/>
                <w:kern w:val="0"/>
                <w:szCs w:val="21"/>
                <w:lang w:bidi="ar"/>
              </w:rPr>
              <w:t>《国务院办公厅关于做好全国人大代表建议和全国政协委员提案办理结果公开工作的通知》（国办发﹝2014﹞46号）。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FF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300" w:lineRule="exact"/>
              <w:textAlignment w:val="center"/>
              <w:rPr>
                <w:rFonts w:hint="eastAsia" w:eastAsia="仿宋_GB2312"/>
                <w:color w:val="000000"/>
                <w:kern w:val="0"/>
                <w:szCs w:val="21"/>
                <w:lang w:eastAsia="zh-CN" w:bidi="ar"/>
              </w:rPr>
            </w:pPr>
            <w:r>
              <w:rPr>
                <w:rFonts w:hint="eastAsia" w:eastAsia="仿宋_GB2312"/>
                <w:color w:val="000000"/>
                <w:kern w:val="0"/>
                <w:szCs w:val="21"/>
                <w:lang w:bidi="ar"/>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FF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FF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FF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FF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FF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eastAsia" w:eastAsia="仿宋_GB2312"/>
                <w:color w:val="000000"/>
                <w:szCs w:val="21"/>
                <w:lang w:eastAsia="zh-CN"/>
              </w:rPr>
            </w:pPr>
            <w:r>
              <w:rPr>
                <w:rFonts w:hint="eastAsia" w:eastAsia="仿宋_GB2312"/>
                <w:color w:val="000000"/>
                <w:kern w:val="0"/>
                <w:szCs w:val="21"/>
                <w:lang w:val="en-US" w:eastAsia="zh-CN" w:bidi="ar"/>
              </w:rPr>
              <w:t>9</w:t>
            </w:r>
          </w:p>
        </w:tc>
        <w:tc>
          <w:tcPr>
            <w:tcW w:w="61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管理和服务</w:t>
            </w: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政府领导</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领导分工、简历、联系方式、照片等。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hint="eastAsia" w:eastAsia="仿宋_GB2312"/>
                <w:color w:val="000000"/>
                <w:kern w:val="0"/>
                <w:szCs w:val="21"/>
                <w:lang w:bidi="ar"/>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9"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hint="eastAsia" w:eastAsia="仿宋_GB2312"/>
                <w:color w:val="000000"/>
                <w:szCs w:val="21"/>
                <w:lang w:eastAsia="zh-CN"/>
              </w:rPr>
            </w:pPr>
            <w:r>
              <w:rPr>
                <w:rFonts w:eastAsia="仿宋_GB2312"/>
                <w:color w:val="000000"/>
                <w:kern w:val="0"/>
                <w:szCs w:val="21"/>
                <w:lang w:bidi="ar"/>
              </w:rPr>
              <w:t>1</w:t>
            </w:r>
            <w:r>
              <w:rPr>
                <w:rFonts w:hint="eastAsia" w:eastAsia="仿宋_GB2312"/>
                <w:color w:val="000000"/>
                <w:kern w:val="0"/>
                <w:szCs w:val="21"/>
                <w:lang w:val="en-US" w:eastAsia="zh-CN" w:bidi="ar"/>
              </w:rPr>
              <w:t>0</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组织机构</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机构简介</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机关职能、机构设置、办公地</w:t>
            </w:r>
            <w:r>
              <w:rPr>
                <w:rFonts w:eastAsia="仿宋_GB2312"/>
                <w:color w:val="000000"/>
                <w:spacing w:val="6"/>
                <w:kern w:val="0"/>
                <w:szCs w:val="21"/>
                <w:lang w:bidi="ar"/>
              </w:rPr>
              <w:t>址、办公时间、联系方式等。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hint="eastAsia" w:eastAsia="仿宋_GB2312"/>
                <w:color w:val="000000"/>
                <w:kern w:val="0"/>
                <w:szCs w:val="21"/>
                <w:lang w:bidi="ar"/>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eastAsia" w:eastAsia="仿宋_GB2312"/>
                <w:color w:val="000000"/>
                <w:szCs w:val="21"/>
                <w:lang w:eastAsia="zh-CN"/>
              </w:rPr>
            </w:pPr>
            <w:r>
              <w:rPr>
                <w:rFonts w:eastAsia="仿宋_GB2312"/>
                <w:color w:val="000000"/>
                <w:kern w:val="0"/>
                <w:szCs w:val="21"/>
                <w:lang w:bidi="ar"/>
              </w:rPr>
              <w:t>1</w:t>
            </w:r>
            <w:r>
              <w:rPr>
                <w:rFonts w:hint="eastAsia" w:eastAsia="仿宋_GB2312"/>
                <w:color w:val="000000"/>
                <w:kern w:val="0"/>
                <w:szCs w:val="21"/>
                <w:lang w:val="en-US" w:eastAsia="zh-CN" w:bidi="ar"/>
              </w:rPr>
              <w:t>1</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内设机构及下属单位</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内设机构及下属单位设置、职能、办公地址、办公时间、联系方式、负责人姓名等。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hint="eastAsia" w:eastAsia="仿宋_GB2312"/>
                <w:color w:val="000000"/>
                <w:kern w:val="0"/>
                <w:szCs w:val="21"/>
                <w:lang w:bidi="ar"/>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lang w:val="en-US" w:eastAsia="zh-CN"/>
              </w:rPr>
            </w:pPr>
            <w:r>
              <w:rPr>
                <w:rFonts w:hint="eastAsia" w:eastAsia="仿宋_GB2312"/>
                <w:color w:val="000000"/>
                <w:kern w:val="0"/>
                <w:szCs w:val="21"/>
                <w:lang w:val="en-US" w:eastAsia="zh-CN" w:bidi="ar"/>
              </w:rPr>
              <w:t>12</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人事信息</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人事任免、人员招考录用等信息。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hint="eastAsia" w:eastAsia="仿宋_GB2312"/>
                <w:color w:val="000000"/>
                <w:kern w:val="0"/>
                <w:szCs w:val="21"/>
                <w:lang w:bidi="ar"/>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eastAsia" w:eastAsia="仿宋_GB2312"/>
                <w:color w:val="000000"/>
                <w:szCs w:val="21"/>
                <w:lang w:eastAsia="zh-CN"/>
              </w:rPr>
            </w:pPr>
            <w:r>
              <w:rPr>
                <w:rFonts w:eastAsia="仿宋_GB2312"/>
                <w:color w:val="000000"/>
                <w:kern w:val="0"/>
                <w:szCs w:val="21"/>
                <w:lang w:bidi="ar"/>
              </w:rPr>
              <w:t>1</w:t>
            </w:r>
            <w:r>
              <w:rPr>
                <w:rFonts w:hint="eastAsia" w:eastAsia="仿宋_GB2312"/>
                <w:color w:val="000000"/>
                <w:kern w:val="0"/>
                <w:szCs w:val="21"/>
                <w:lang w:val="en-US" w:eastAsia="zh-CN" w:bidi="ar"/>
              </w:rPr>
              <w:t>3</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新闻发布</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新闻发布</w:t>
            </w:r>
            <w:r>
              <w:rPr>
                <w:rStyle w:val="5"/>
                <w:rFonts w:ascii="Times New Roman" w:hAnsi="Times New Roman" w:eastAsia="仿宋_GB2312" w:cs="Times New Roman"/>
                <w:sz w:val="21"/>
                <w:szCs w:val="21"/>
                <w:lang w:bidi="ar"/>
              </w:rPr>
              <w:t>会及其他形式的新闻宣传信息</w:t>
            </w:r>
            <w:r>
              <w:rPr>
                <w:rFonts w:eastAsia="仿宋_GB2312"/>
                <w:color w:val="000000"/>
                <w:kern w:val="0"/>
                <w:szCs w:val="21"/>
                <w:lang w:bidi="ar"/>
              </w:rPr>
              <w:t>。</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w:t>
            </w:r>
            <w:r>
              <w:rPr>
                <w:rFonts w:eastAsia="仿宋_GB2312"/>
                <w:color w:val="000000"/>
                <w:spacing w:val="-11"/>
                <w:kern w:val="0"/>
                <w:szCs w:val="21"/>
                <w:lang w:bidi="ar"/>
              </w:rPr>
              <w:t>中华人民共和国政府信息公开条例》（国务院令第711号）</w:t>
            </w:r>
            <w:r>
              <w:rPr>
                <w:rFonts w:eastAsia="仿宋_GB2312"/>
                <w:color w:val="000000"/>
                <w:kern w:val="0"/>
                <w:szCs w:val="21"/>
                <w:lang w:bidi="ar"/>
              </w:rPr>
              <w:t>；</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宣教信息中心</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kern w:val="0"/>
                <w:szCs w:val="21"/>
                <w:lang w:bidi="ar"/>
              </w:rPr>
            </w:pPr>
            <w:r>
              <w:rPr>
                <w:rFonts w:eastAsia="黑体"/>
                <w:color w:val="000000"/>
                <w:kern w:val="0"/>
                <w:szCs w:val="21"/>
                <w:lang w:bidi="ar"/>
              </w:rPr>
              <w:t>序号</w:t>
            </w:r>
          </w:p>
        </w:tc>
        <w:tc>
          <w:tcPr>
            <w:tcW w:w="615" w:type="dxa"/>
            <w:vMerge w:val="restart"/>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黑体"/>
                <w:color w:val="000000"/>
                <w:kern w:val="0"/>
                <w:szCs w:val="21"/>
                <w:lang w:bidi="ar"/>
              </w:rPr>
              <w:t>过程</w:t>
            </w:r>
          </w:p>
        </w:tc>
        <w:tc>
          <w:tcPr>
            <w:tcW w:w="1185" w:type="dxa"/>
            <w:gridSpan w:val="2"/>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黑体"/>
                <w:color w:val="000000"/>
                <w:kern w:val="0"/>
                <w:szCs w:val="21"/>
                <w:lang w:bidi="ar"/>
              </w:rPr>
              <w:t>公开事项</w:t>
            </w:r>
          </w:p>
        </w:tc>
        <w:tc>
          <w:tcPr>
            <w:tcW w:w="253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kern w:val="0"/>
                <w:szCs w:val="21"/>
                <w:lang w:bidi="ar"/>
              </w:rPr>
            </w:pPr>
            <w:r>
              <w:rPr>
                <w:rFonts w:eastAsia="黑体"/>
                <w:color w:val="000000"/>
                <w:kern w:val="0"/>
                <w:szCs w:val="21"/>
                <w:lang w:bidi="ar"/>
              </w:rPr>
              <w:t>公开内容</w:t>
            </w:r>
          </w:p>
        </w:tc>
        <w:tc>
          <w:tcPr>
            <w:tcW w:w="252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kern w:val="0"/>
                <w:szCs w:val="21"/>
                <w:lang w:bidi="ar"/>
              </w:rPr>
            </w:pPr>
            <w:r>
              <w:rPr>
                <w:rFonts w:eastAsia="黑体"/>
                <w:color w:val="000000"/>
                <w:kern w:val="0"/>
                <w:szCs w:val="21"/>
                <w:lang w:bidi="ar"/>
              </w:rPr>
              <w:t>公开依据</w:t>
            </w:r>
          </w:p>
        </w:tc>
        <w:tc>
          <w:tcPr>
            <w:tcW w:w="252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kern w:val="0"/>
                <w:szCs w:val="21"/>
                <w:lang w:bidi="ar"/>
              </w:rPr>
            </w:pPr>
            <w:r>
              <w:rPr>
                <w:rFonts w:eastAsia="黑体"/>
                <w:color w:val="000000"/>
                <w:kern w:val="0"/>
                <w:szCs w:val="21"/>
                <w:lang w:bidi="ar"/>
              </w:rPr>
              <w:t>公开时限</w:t>
            </w:r>
          </w:p>
        </w:tc>
        <w:tc>
          <w:tcPr>
            <w:tcW w:w="675"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kern w:val="0"/>
                <w:szCs w:val="21"/>
                <w:lang w:bidi="ar"/>
              </w:rPr>
            </w:pPr>
            <w:r>
              <w:rPr>
                <w:rFonts w:eastAsia="黑体"/>
                <w:color w:val="000000"/>
                <w:kern w:val="0"/>
                <w:szCs w:val="21"/>
                <w:lang w:bidi="ar"/>
              </w:rPr>
              <w:t>公开</w:t>
            </w:r>
          </w:p>
          <w:p>
            <w:pPr>
              <w:widowControl/>
              <w:spacing w:line="280" w:lineRule="exact"/>
              <w:jc w:val="center"/>
              <w:textAlignment w:val="center"/>
              <w:rPr>
                <w:rFonts w:eastAsia="仿宋_GB2312"/>
                <w:color w:val="000000"/>
                <w:szCs w:val="21"/>
              </w:rPr>
            </w:pPr>
            <w:r>
              <w:rPr>
                <w:rFonts w:eastAsia="黑体"/>
                <w:color w:val="000000"/>
                <w:kern w:val="0"/>
                <w:szCs w:val="21"/>
                <w:lang w:bidi="ar"/>
              </w:rPr>
              <w:t>主体</w:t>
            </w:r>
          </w:p>
        </w:tc>
        <w:tc>
          <w:tcPr>
            <w:tcW w:w="1425" w:type="dxa"/>
            <w:gridSpan w:val="2"/>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黑体"/>
                <w:color w:val="000000"/>
                <w:kern w:val="0"/>
                <w:szCs w:val="21"/>
                <w:lang w:bidi="ar"/>
              </w:rPr>
              <w:t>公开方式</w:t>
            </w:r>
          </w:p>
        </w:tc>
        <w:tc>
          <w:tcPr>
            <w:tcW w:w="1320" w:type="dxa"/>
            <w:gridSpan w:val="2"/>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黑体"/>
                <w:color w:val="000000"/>
                <w:kern w:val="0"/>
                <w:szCs w:val="21"/>
                <w:lang w:bidi="ar"/>
              </w:rPr>
              <w:t>公开对象</w:t>
            </w:r>
          </w:p>
        </w:tc>
        <w:tc>
          <w:tcPr>
            <w:tcW w:w="1249" w:type="dxa"/>
            <w:vMerge w:val="restart"/>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黑体"/>
                <w:color w:val="000000"/>
                <w:kern w:val="0"/>
                <w:szCs w:val="21"/>
                <w:lang w:bidi="ar"/>
              </w:rPr>
              <w:t>公开渠道</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vMerge w:val="continue"/>
            <w:noWrap w:val="0"/>
            <w:tcMar>
              <w:top w:w="15" w:type="dxa"/>
              <w:left w:w="15" w:type="dxa"/>
              <w:right w:w="15" w:type="dxa"/>
            </w:tcMar>
            <w:vAlign w:val="center"/>
          </w:tcPr>
          <w:p>
            <w:pPr>
              <w:widowControl/>
              <w:spacing w:line="280" w:lineRule="exact"/>
              <w:jc w:val="center"/>
              <w:rPr>
                <w:rFonts w:eastAsia="仿宋_GB2312"/>
                <w:color w:val="000000"/>
                <w:kern w:val="0"/>
                <w:szCs w:val="21"/>
                <w:lang w:bidi="ar"/>
              </w:rPr>
            </w:pP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kern w:val="0"/>
                <w:szCs w:val="21"/>
                <w:lang w:bidi="ar"/>
              </w:rPr>
            </w:pPr>
            <w:r>
              <w:rPr>
                <w:rFonts w:eastAsia="黑体"/>
                <w:color w:val="000000"/>
                <w:kern w:val="0"/>
                <w:szCs w:val="21"/>
                <w:lang w:bidi="ar"/>
              </w:rPr>
              <w:t>一级事项</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黑体"/>
                <w:color w:val="000000"/>
                <w:kern w:val="0"/>
                <w:szCs w:val="21"/>
                <w:lang w:bidi="ar"/>
              </w:rPr>
              <w:t>二级事项</w:t>
            </w:r>
          </w:p>
        </w:tc>
        <w:tc>
          <w:tcPr>
            <w:tcW w:w="2535" w:type="dxa"/>
            <w:vMerge w:val="continue"/>
            <w:noWrap w:val="0"/>
            <w:tcMar>
              <w:top w:w="15" w:type="dxa"/>
              <w:left w:w="15" w:type="dxa"/>
              <w:right w:w="15" w:type="dxa"/>
            </w:tcMar>
            <w:vAlign w:val="center"/>
          </w:tcPr>
          <w:p>
            <w:pPr>
              <w:widowControl/>
              <w:spacing w:line="280" w:lineRule="exact"/>
              <w:rPr>
                <w:rFonts w:eastAsia="仿宋_GB2312"/>
                <w:color w:val="000000"/>
                <w:kern w:val="0"/>
                <w:szCs w:val="21"/>
                <w:lang w:bidi="ar"/>
              </w:rPr>
            </w:pPr>
          </w:p>
        </w:tc>
        <w:tc>
          <w:tcPr>
            <w:tcW w:w="2520" w:type="dxa"/>
            <w:vMerge w:val="continue"/>
            <w:noWrap w:val="0"/>
            <w:tcMar>
              <w:top w:w="15" w:type="dxa"/>
              <w:left w:w="15" w:type="dxa"/>
              <w:right w:w="15" w:type="dxa"/>
            </w:tcMar>
            <w:vAlign w:val="center"/>
          </w:tcPr>
          <w:p>
            <w:pPr>
              <w:widowControl/>
              <w:spacing w:line="280" w:lineRule="exact"/>
              <w:rPr>
                <w:rFonts w:eastAsia="仿宋_GB2312"/>
                <w:color w:val="000000"/>
                <w:kern w:val="0"/>
                <w:szCs w:val="21"/>
                <w:lang w:bidi="ar"/>
              </w:rPr>
            </w:pPr>
          </w:p>
        </w:tc>
        <w:tc>
          <w:tcPr>
            <w:tcW w:w="2520" w:type="dxa"/>
            <w:vMerge w:val="continue"/>
            <w:noWrap w:val="0"/>
            <w:tcMar>
              <w:top w:w="15" w:type="dxa"/>
              <w:left w:w="15" w:type="dxa"/>
              <w:right w:w="15" w:type="dxa"/>
            </w:tcMar>
            <w:vAlign w:val="center"/>
          </w:tcPr>
          <w:p>
            <w:pPr>
              <w:widowControl/>
              <w:spacing w:line="280" w:lineRule="exact"/>
              <w:rPr>
                <w:rFonts w:eastAsia="仿宋_GB2312"/>
                <w:color w:val="000000"/>
                <w:kern w:val="0"/>
                <w:szCs w:val="21"/>
                <w:lang w:bidi="ar"/>
              </w:rPr>
            </w:pPr>
          </w:p>
        </w:tc>
        <w:tc>
          <w:tcPr>
            <w:tcW w:w="67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05" w:type="dxa"/>
            <w:noWrap w:val="0"/>
            <w:tcMar>
              <w:top w:w="15" w:type="dxa"/>
              <w:left w:w="15" w:type="dxa"/>
              <w:right w:w="15" w:type="dxa"/>
            </w:tcMar>
            <w:vAlign w:val="center"/>
          </w:tcPr>
          <w:p>
            <w:pPr>
              <w:widowControl/>
              <w:spacing w:line="280" w:lineRule="exact"/>
              <w:jc w:val="center"/>
              <w:textAlignment w:val="center"/>
              <w:rPr>
                <w:rFonts w:eastAsia="黑体"/>
                <w:color w:val="000000"/>
                <w:kern w:val="0"/>
                <w:szCs w:val="21"/>
                <w:lang w:bidi="ar"/>
              </w:rPr>
            </w:pPr>
            <w:r>
              <w:rPr>
                <w:rFonts w:eastAsia="黑体"/>
                <w:color w:val="000000"/>
                <w:kern w:val="0"/>
                <w:szCs w:val="21"/>
                <w:lang w:bidi="ar"/>
              </w:rPr>
              <w:t>主动</w:t>
            </w:r>
          </w:p>
          <w:p>
            <w:pPr>
              <w:widowControl/>
              <w:spacing w:line="280" w:lineRule="exact"/>
              <w:jc w:val="center"/>
              <w:textAlignment w:val="center"/>
              <w:rPr>
                <w:rFonts w:eastAsia="仿宋_GB2312"/>
                <w:color w:val="000000"/>
                <w:szCs w:val="21"/>
              </w:rPr>
            </w:pPr>
            <w:r>
              <w:rPr>
                <w:rFonts w:eastAsia="黑体"/>
                <w:color w:val="000000"/>
                <w:kern w:val="0"/>
                <w:szCs w:val="21"/>
                <w:lang w:bidi="ar"/>
              </w:rPr>
              <w:t>公开</w:t>
            </w:r>
          </w:p>
        </w:tc>
        <w:tc>
          <w:tcPr>
            <w:tcW w:w="7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黑体"/>
                <w:color w:val="000000"/>
                <w:kern w:val="0"/>
                <w:szCs w:val="21"/>
                <w:lang w:bidi="ar"/>
              </w:rPr>
              <w:t>依申请</w:t>
            </w:r>
          </w:p>
        </w:tc>
        <w:tc>
          <w:tcPr>
            <w:tcW w:w="79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黑体"/>
                <w:color w:val="000000"/>
                <w:kern w:val="0"/>
                <w:szCs w:val="21"/>
                <w:lang w:bidi="ar"/>
              </w:rPr>
              <w:t>全社会</w:t>
            </w:r>
          </w:p>
        </w:tc>
        <w:tc>
          <w:tcPr>
            <w:tcW w:w="52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黑体"/>
                <w:color w:val="000000"/>
                <w:kern w:val="0"/>
                <w:szCs w:val="21"/>
                <w:lang w:bidi="ar"/>
              </w:rPr>
              <w:t>特定群体</w:t>
            </w:r>
          </w:p>
        </w:tc>
        <w:tc>
          <w:tcPr>
            <w:tcW w:w="1249"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lang w:val="en-US" w:eastAsia="zh-CN"/>
              </w:rPr>
            </w:pPr>
            <w:r>
              <w:rPr>
                <w:rFonts w:hint="eastAsia" w:eastAsia="仿宋_GB2312"/>
                <w:color w:val="000000"/>
                <w:kern w:val="0"/>
                <w:szCs w:val="21"/>
                <w:lang w:val="en-US" w:eastAsia="zh-CN" w:bidi="ar"/>
              </w:rPr>
              <w:t>14</w:t>
            </w:r>
          </w:p>
        </w:tc>
        <w:tc>
          <w:tcPr>
            <w:tcW w:w="615" w:type="dxa"/>
            <w:vMerge w:val="restart"/>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管理和服务</w:t>
            </w: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政策解读</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转发国家和省、市、县（市、区）等上级机关或者专家、学者关于法律法规规章及上级重要政策措施的解读；部门负责人通过参加新闻发布会、发表署名文章或接受媒体采访等形式就相关政策进行解读；深入解读重要政策文件的制定背景、起草过程、工作目标、主要内容、创新举措和下一步工作考虑等。鼓励采用图片图表、音频视频、卡通动漫等群众喜闻乐见的展现形式提升解读效果。</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法制科及</w:t>
            </w:r>
            <w:r>
              <w:rPr>
                <w:rFonts w:hint="eastAsia" w:eastAsia="仿宋_GB2312"/>
                <w:color w:val="000000"/>
                <w:kern w:val="0"/>
                <w:szCs w:val="21"/>
                <w:lang w:bidi="ar"/>
              </w:rPr>
              <w:t>相关科室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lang w:val="en-US" w:eastAsia="zh-CN"/>
              </w:rPr>
            </w:pPr>
            <w:r>
              <w:rPr>
                <w:rFonts w:hint="eastAsia" w:eastAsia="仿宋_GB2312"/>
                <w:color w:val="000000"/>
                <w:kern w:val="0"/>
                <w:szCs w:val="21"/>
                <w:lang w:val="en-US" w:eastAsia="zh-CN" w:bidi="ar"/>
              </w:rPr>
              <w:t>15</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回应关切</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按规定及时公开。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执法局</w:t>
            </w:r>
          </w:p>
          <w:p>
            <w:pPr>
              <w:widowControl/>
              <w:spacing w:line="280" w:lineRule="exact"/>
              <w:jc w:val="center"/>
              <w:rPr>
                <w:rFonts w:hint="eastAsia" w:eastAsia="仿宋_GB2312"/>
                <w:color w:val="000000"/>
                <w:szCs w:val="21"/>
                <w:lang w:eastAsia="zh-CN"/>
              </w:rPr>
            </w:pPr>
          </w:p>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信访办</w:t>
            </w:r>
          </w:p>
          <w:p>
            <w:pPr>
              <w:widowControl/>
              <w:spacing w:line="280" w:lineRule="exact"/>
              <w:jc w:val="center"/>
              <w:rPr>
                <w:rFonts w:hint="eastAsia" w:eastAsia="仿宋_GB2312"/>
                <w:color w:val="000000"/>
                <w:szCs w:val="21"/>
                <w:lang w:eastAsia="zh-CN"/>
              </w:rPr>
            </w:pPr>
          </w:p>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宣教信息中心</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lang w:val="en-US" w:eastAsia="zh-CN"/>
              </w:rPr>
            </w:pPr>
            <w:r>
              <w:rPr>
                <w:rFonts w:hint="eastAsia" w:eastAsia="仿宋_GB2312"/>
                <w:color w:val="000000"/>
                <w:kern w:val="0"/>
                <w:szCs w:val="21"/>
                <w:lang w:val="en-US" w:eastAsia="zh-CN" w:bidi="ar"/>
              </w:rPr>
              <w:t>16</w:t>
            </w:r>
          </w:p>
        </w:tc>
        <w:tc>
          <w:tcPr>
            <w:tcW w:w="61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kern w:val="0"/>
                <w:szCs w:val="21"/>
                <w:lang w:bidi="ar"/>
              </w:rPr>
            </w:pPr>
            <w:r>
              <w:rPr>
                <w:rFonts w:eastAsia="仿宋_GB2312"/>
                <w:color w:val="000000"/>
                <w:kern w:val="0"/>
                <w:szCs w:val="21"/>
                <w:lang w:bidi="ar"/>
              </w:rPr>
              <w:t>重点领域信息公开</w:t>
            </w:r>
          </w:p>
          <w:p>
            <w:pPr>
              <w:widowControl/>
              <w:spacing w:line="280" w:lineRule="exact"/>
              <w:jc w:val="center"/>
              <w:textAlignment w:val="center"/>
              <w:rPr>
                <w:rFonts w:eastAsia="仿宋_GB2312"/>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应急管理</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预警信息及应对情况</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bidi="ar"/>
              </w:rPr>
              <w:t>突发环境</w:t>
            </w:r>
            <w:r>
              <w:rPr>
                <w:rFonts w:eastAsia="仿宋_GB2312"/>
                <w:color w:val="000000"/>
                <w:kern w:val="0"/>
                <w:szCs w:val="21"/>
                <w:lang w:bidi="ar"/>
              </w:rPr>
              <w:t>事故</w:t>
            </w:r>
            <w:r>
              <w:rPr>
                <w:rFonts w:eastAsia="仿宋_GB2312"/>
                <w:color w:val="000000"/>
                <w:spacing w:val="11"/>
                <w:kern w:val="0"/>
                <w:szCs w:val="21"/>
                <w:lang w:bidi="ar"/>
              </w:rPr>
              <w:t>预警信息及采取的应急处置措施与应对结果等。</w:t>
            </w:r>
          </w:p>
        </w:tc>
        <w:tc>
          <w:tcPr>
            <w:tcW w:w="2520" w:type="dxa"/>
            <w:noWrap w:val="0"/>
            <w:tcMar>
              <w:top w:w="15" w:type="dxa"/>
              <w:left w:w="15" w:type="dxa"/>
              <w:right w:w="15" w:type="dxa"/>
            </w:tcMar>
            <w:vAlign w:val="center"/>
          </w:tcPr>
          <w:p>
            <w:pPr>
              <w:widowControl/>
              <w:spacing w:line="280" w:lineRule="exact"/>
              <w:jc w:val="distribute"/>
              <w:textAlignment w:val="center"/>
              <w:rPr>
                <w:rFonts w:eastAsia="仿宋_GB2312"/>
                <w:color w:val="000000"/>
                <w:spacing w:val="11"/>
                <w:kern w:val="0"/>
                <w:szCs w:val="21"/>
                <w:lang w:bidi="ar"/>
              </w:rPr>
            </w:pPr>
            <w:r>
              <w:rPr>
                <w:rFonts w:eastAsia="仿宋_GB2312"/>
                <w:color w:val="000000"/>
                <w:kern w:val="0"/>
                <w:szCs w:val="21"/>
                <w:lang w:bidi="ar"/>
              </w:rPr>
              <w:t>《中华人民共和国突发事件</w:t>
            </w:r>
            <w:r>
              <w:rPr>
                <w:rFonts w:eastAsia="仿宋_GB2312"/>
                <w:color w:val="000000"/>
                <w:spacing w:val="11"/>
                <w:kern w:val="0"/>
                <w:szCs w:val="21"/>
                <w:lang w:bidi="ar"/>
              </w:rPr>
              <w:t>应对法》（主席令第</w:t>
            </w:r>
          </w:p>
          <w:p>
            <w:pPr>
              <w:widowControl/>
              <w:spacing w:line="280" w:lineRule="exact"/>
              <w:textAlignment w:val="center"/>
              <w:rPr>
                <w:rFonts w:eastAsia="仿宋_GB2312"/>
                <w:color w:val="000000"/>
                <w:szCs w:val="21"/>
              </w:rPr>
            </w:pPr>
            <w:r>
              <w:rPr>
                <w:rFonts w:eastAsia="仿宋_GB2312"/>
                <w:color w:val="000000"/>
                <w:spacing w:val="11"/>
                <w:kern w:val="0"/>
                <w:szCs w:val="21"/>
                <w:lang w:bidi="ar"/>
              </w:rPr>
              <w:t>69号）。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应急中心</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lang w:val="en-US" w:eastAsia="zh-CN"/>
              </w:rPr>
            </w:pPr>
            <w:r>
              <w:rPr>
                <w:rFonts w:hint="eastAsia" w:eastAsia="仿宋_GB2312"/>
                <w:color w:val="000000"/>
                <w:kern w:val="0"/>
                <w:szCs w:val="21"/>
                <w:lang w:val="en-US" w:eastAsia="zh-CN" w:bidi="ar"/>
              </w:rPr>
              <w:t>17</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权责清单</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《中共中央办公厅国务院办公厅印发〈关于推行地方各级政府工作部门权力清单制度的指导意见〉的通知》（中办发〔2015〕21号）；</w:t>
            </w:r>
            <w:r>
              <w:rPr>
                <w:rFonts w:eastAsia="仿宋_GB2312"/>
                <w:color w:val="000000"/>
                <w:kern w:val="0"/>
                <w:szCs w:val="21"/>
                <w:lang w:bidi="ar"/>
              </w:rPr>
              <w:br w:type="textWrapping"/>
            </w:r>
            <w:r>
              <w:rPr>
                <w:rFonts w:eastAsia="仿宋_GB2312"/>
                <w:color w:val="000000"/>
                <w:kern w:val="0"/>
                <w:szCs w:val="21"/>
                <w:lang w:bidi="ar"/>
              </w:rPr>
              <w:t>《国务院办公厅关于做好证明事项清理工作的通知》（国办发〔2018〕47号）。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按照法定时间公开。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法制科</w:t>
            </w:r>
          </w:p>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环评科监察室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lang w:val="en-US" w:eastAsia="zh-CN"/>
              </w:rPr>
            </w:pPr>
            <w:r>
              <w:rPr>
                <w:rFonts w:hint="eastAsia" w:eastAsia="仿宋_GB2312"/>
                <w:color w:val="000000"/>
                <w:kern w:val="0"/>
                <w:szCs w:val="21"/>
                <w:lang w:val="en-US" w:eastAsia="zh-CN" w:bidi="ar"/>
              </w:rPr>
              <w:t>18</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公共服务清单</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公开公共服务目录清单，包括提供所有服务事项的名称、内容、办理主体</w:t>
            </w:r>
            <w:r>
              <w:rPr>
                <w:rFonts w:hint="eastAsia" w:eastAsia="仿宋_GB2312"/>
                <w:color w:val="000000"/>
                <w:kern w:val="0"/>
                <w:szCs w:val="21"/>
                <w:lang w:bidi="ar"/>
              </w:rPr>
              <w:t>、</w:t>
            </w:r>
            <w:r>
              <w:rPr>
                <w:rFonts w:eastAsia="仿宋_GB2312"/>
                <w:color w:val="000000"/>
                <w:spacing w:val="6"/>
                <w:kern w:val="0"/>
                <w:szCs w:val="21"/>
                <w:lang w:bidi="ar"/>
              </w:rPr>
              <w:t>依据</w:t>
            </w:r>
            <w:r>
              <w:rPr>
                <w:rFonts w:hint="eastAsia" w:eastAsia="仿宋_GB2312"/>
                <w:color w:val="000000"/>
                <w:spacing w:val="6"/>
                <w:kern w:val="0"/>
                <w:szCs w:val="21"/>
                <w:lang w:bidi="ar"/>
              </w:rPr>
              <w:t>、</w:t>
            </w:r>
            <w:r>
              <w:rPr>
                <w:rFonts w:eastAsia="仿宋_GB2312"/>
                <w:color w:val="000000"/>
                <w:spacing w:val="6"/>
                <w:kern w:val="0"/>
                <w:szCs w:val="21"/>
                <w:lang w:bidi="ar"/>
              </w:rPr>
              <w:t>期限</w:t>
            </w:r>
            <w:r>
              <w:rPr>
                <w:rFonts w:hint="eastAsia" w:eastAsia="仿宋_GB2312"/>
                <w:color w:val="000000"/>
                <w:spacing w:val="6"/>
                <w:kern w:val="0"/>
                <w:szCs w:val="21"/>
                <w:lang w:bidi="ar"/>
              </w:rPr>
              <w:t>、</w:t>
            </w:r>
            <w:r>
              <w:rPr>
                <w:rFonts w:eastAsia="仿宋_GB2312"/>
                <w:color w:val="000000"/>
                <w:spacing w:val="6"/>
                <w:kern w:val="0"/>
                <w:szCs w:val="21"/>
                <w:lang w:bidi="ar"/>
              </w:rPr>
              <w:t>监督渠道等信息。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lang w:bidi="ar"/>
              </w:rPr>
              <w:t>《国务院办公厅关于简化优化公共服务流程方便基层群众办事创业的通知》(</w:t>
            </w:r>
            <w:r>
              <w:rPr>
                <w:rStyle w:val="5"/>
                <w:rFonts w:ascii="Times New Roman" w:hAnsi="Times New Roman" w:eastAsia="仿宋_GB2312" w:cs="Times New Roman"/>
                <w:sz w:val="21"/>
                <w:szCs w:val="21"/>
                <w:lang w:bidi="ar"/>
              </w:rPr>
              <w:t>国办发〔</w:t>
            </w:r>
            <w:r>
              <w:rPr>
                <w:rFonts w:eastAsia="仿宋_GB2312"/>
                <w:color w:val="000000"/>
                <w:kern w:val="0"/>
                <w:szCs w:val="21"/>
                <w:lang w:bidi="ar"/>
              </w:rPr>
              <w:t>2015</w:t>
            </w:r>
            <w:r>
              <w:rPr>
                <w:rStyle w:val="5"/>
                <w:rFonts w:ascii="Times New Roman" w:hAnsi="Times New Roman" w:eastAsia="仿宋_GB2312" w:cs="Times New Roman"/>
                <w:sz w:val="21"/>
                <w:szCs w:val="21"/>
                <w:lang w:bidi="ar"/>
              </w:rPr>
              <w:t>〕</w:t>
            </w:r>
            <w:r>
              <w:rPr>
                <w:rFonts w:eastAsia="仿宋_GB2312"/>
                <w:color w:val="000000"/>
                <w:kern w:val="0"/>
                <w:szCs w:val="21"/>
                <w:lang w:bidi="ar"/>
              </w:rPr>
              <w:t>86</w:t>
            </w:r>
            <w:r>
              <w:rPr>
                <w:rStyle w:val="5"/>
                <w:rFonts w:ascii="Times New Roman" w:hAnsi="Times New Roman" w:eastAsia="仿宋_GB2312" w:cs="Times New Roman"/>
                <w:sz w:val="21"/>
                <w:szCs w:val="21"/>
                <w:lang w:bidi="ar"/>
              </w:rPr>
              <w:t>号</w:t>
            </w:r>
            <w:r>
              <w:rPr>
                <w:rFonts w:eastAsia="仿宋_GB2312"/>
                <w:color w:val="000000"/>
                <w:kern w:val="0"/>
                <w:szCs w:val="21"/>
                <w:lang w:bidi="ar"/>
              </w:rPr>
              <w:t>)</w:t>
            </w:r>
            <w:r>
              <w:rPr>
                <w:rStyle w:val="5"/>
                <w:rFonts w:ascii="Times New Roman" w:hAnsi="Times New Roman" w:eastAsia="仿宋_GB2312" w:cs="Times New Roman"/>
                <w:sz w:val="21"/>
                <w:szCs w:val="21"/>
                <w:lang w:bidi="ar"/>
              </w:rPr>
              <w:t>。</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lang w:bidi="ar"/>
              </w:rPr>
              <w:t>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各科室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4"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szCs w:val="21"/>
                <w:lang w:val="en-US" w:eastAsia="zh-CN"/>
              </w:rPr>
            </w:pPr>
            <w:r>
              <w:rPr>
                <w:rFonts w:hint="eastAsia" w:eastAsia="仿宋_GB2312"/>
                <w:color w:val="000000"/>
                <w:szCs w:val="21"/>
                <w:lang w:val="en-US" w:eastAsia="zh-CN"/>
              </w:rPr>
              <w:t>19</w:t>
            </w:r>
          </w:p>
        </w:tc>
        <w:tc>
          <w:tcPr>
            <w:tcW w:w="615" w:type="dxa"/>
            <w:vMerge w:val="restart"/>
            <w:noWrap w:val="0"/>
            <w:tcMar>
              <w:top w:w="15" w:type="dxa"/>
              <w:left w:w="15" w:type="dxa"/>
              <w:right w:w="15" w:type="dxa"/>
            </w:tcMar>
            <w:vAlign w:val="center"/>
          </w:tcPr>
          <w:p>
            <w:pPr>
              <w:widowControl/>
              <w:spacing w:line="250" w:lineRule="exact"/>
              <w:jc w:val="center"/>
              <w:rPr>
                <w:rFonts w:hint="eastAsia" w:eastAsia="仿宋_GB2312"/>
                <w:color w:val="000000"/>
                <w:kern w:val="0"/>
                <w:szCs w:val="21"/>
                <w:lang w:bidi="ar"/>
              </w:rPr>
            </w:pPr>
          </w:p>
        </w:tc>
        <w:tc>
          <w:tcPr>
            <w:tcW w:w="570" w:type="dxa"/>
            <w:vMerge w:val="restart"/>
            <w:noWrap w:val="0"/>
            <w:tcMar>
              <w:top w:w="15" w:type="dxa"/>
              <w:left w:w="15" w:type="dxa"/>
              <w:right w:w="15" w:type="dxa"/>
            </w:tcMar>
            <w:vAlign w:val="center"/>
          </w:tcPr>
          <w:p>
            <w:pPr>
              <w:widowControl/>
              <w:spacing w:line="250" w:lineRule="exact"/>
              <w:jc w:val="center"/>
              <w:rPr>
                <w:rFonts w:hint="eastAsia" w:eastAsia="仿宋_GB2312"/>
                <w:color w:val="000000"/>
                <w:kern w:val="0"/>
                <w:szCs w:val="21"/>
                <w:lang w:bidi="ar"/>
              </w:rPr>
            </w:pPr>
            <w:r>
              <w:rPr>
                <w:rFonts w:hint="eastAsia" w:eastAsia="仿宋_GB2312"/>
                <w:color w:val="000000"/>
                <w:kern w:val="0"/>
                <w:szCs w:val="21"/>
                <w:lang w:bidi="ar"/>
              </w:rPr>
              <w:t>行政权力</w:t>
            </w:r>
            <w:r>
              <w:rPr>
                <w:rFonts w:hint="eastAsia" w:eastAsia="仿宋_GB2312"/>
                <w:color w:val="000000"/>
                <w:kern w:val="0"/>
                <w:szCs w:val="21"/>
                <w:lang w:bidi="ar"/>
              </w:rPr>
              <w:br w:type="textWrapping"/>
            </w:r>
            <w:r>
              <w:rPr>
                <w:rFonts w:hint="eastAsia" w:eastAsia="仿宋_GB2312"/>
                <w:color w:val="000000"/>
                <w:kern w:val="0"/>
                <w:szCs w:val="21"/>
                <w:lang w:bidi="ar"/>
              </w:rPr>
              <w:t>运行</w:t>
            </w:r>
          </w:p>
        </w:tc>
        <w:tc>
          <w:tcPr>
            <w:tcW w:w="615"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行政许可和行政处罚双公示</w:t>
            </w: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kern w:val="0"/>
                <w:szCs w:val="21"/>
                <w:lang w:bidi="ar"/>
              </w:rPr>
            </w:pPr>
            <w:r>
              <w:rPr>
                <w:rFonts w:eastAsia="仿宋_GB2312"/>
                <w:color w:val="000000"/>
                <w:kern w:val="0"/>
                <w:szCs w:val="21"/>
                <w:lang w:bidi="ar"/>
              </w:rPr>
              <w:t>行政许可和行政处罚双公示信息。</w:t>
            </w:r>
          </w:p>
        </w:tc>
        <w:tc>
          <w:tcPr>
            <w:tcW w:w="2520" w:type="dxa"/>
            <w:noWrap w:val="0"/>
            <w:tcMar>
              <w:top w:w="15" w:type="dxa"/>
              <w:left w:w="15" w:type="dxa"/>
              <w:right w:w="15" w:type="dxa"/>
            </w:tcMar>
            <w:vAlign w:val="center"/>
          </w:tcPr>
          <w:p>
            <w:pPr>
              <w:widowControl/>
              <w:spacing w:line="250" w:lineRule="exact"/>
              <w:rPr>
                <w:rFonts w:eastAsia="仿宋_GB2312"/>
                <w:color w:val="000000"/>
                <w:kern w:val="0"/>
                <w:szCs w:val="21"/>
                <w:lang w:bidi="ar"/>
              </w:rPr>
            </w:pPr>
            <w:r>
              <w:rPr>
                <w:rFonts w:eastAsia="仿宋_GB2312"/>
                <w:color w:val="000000"/>
                <w:kern w:val="0"/>
                <w:szCs w:val="21"/>
                <w:lang w:bidi="ar"/>
              </w:rPr>
              <w:t>《国家发展改革委办公厅关于进一步完善行政许可和行政处罚等信用信息公示工作的指导意见》（发改办财金〔2018〕424号）。</w:t>
            </w:r>
          </w:p>
        </w:tc>
        <w:tc>
          <w:tcPr>
            <w:tcW w:w="2520" w:type="dxa"/>
            <w:noWrap w:val="0"/>
            <w:tcMar>
              <w:top w:w="15" w:type="dxa"/>
              <w:left w:w="15" w:type="dxa"/>
              <w:right w:w="15" w:type="dxa"/>
            </w:tcMar>
            <w:vAlign w:val="center"/>
          </w:tcPr>
          <w:p>
            <w:pPr>
              <w:widowControl/>
              <w:spacing w:line="250" w:lineRule="exact"/>
              <w:rPr>
                <w:rFonts w:eastAsia="仿宋_GB2312"/>
                <w:color w:val="000000"/>
                <w:szCs w:val="21"/>
              </w:rPr>
            </w:pPr>
            <w:r>
              <w:rPr>
                <w:rFonts w:eastAsia="仿宋_GB2312"/>
                <w:color w:val="000000"/>
                <w:kern w:val="0"/>
                <w:szCs w:val="21"/>
                <w:lang w:bidi="ar"/>
              </w:rPr>
              <w:t>作出行政许可、行政处罚决定之日起7个工作日内。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环评科</w:t>
            </w:r>
          </w:p>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执法局</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0"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szCs w:val="21"/>
                <w:lang w:val="en-US" w:eastAsia="zh-CN"/>
              </w:rPr>
            </w:pPr>
            <w:r>
              <w:rPr>
                <w:rFonts w:hint="eastAsia" w:eastAsia="仿宋_GB2312"/>
                <w:color w:val="000000"/>
                <w:kern w:val="0"/>
                <w:szCs w:val="21"/>
                <w:lang w:val="en-US" w:eastAsia="zh-CN" w:bidi="ar"/>
              </w:rPr>
              <w:t>20</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570"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615"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行政执法公示</w:t>
            </w: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公开行政执法职责、执法依据、执法程序、监督途径和执法结果等信息。</w:t>
            </w:r>
          </w:p>
        </w:tc>
        <w:tc>
          <w:tcPr>
            <w:tcW w:w="2520" w:type="dxa"/>
            <w:noWrap w:val="0"/>
            <w:tcMar>
              <w:top w:w="15" w:type="dxa"/>
              <w:left w:w="15" w:type="dxa"/>
              <w:right w:w="15" w:type="dxa"/>
            </w:tcMar>
            <w:vAlign w:val="center"/>
          </w:tcPr>
          <w:p>
            <w:pPr>
              <w:widowControl/>
              <w:spacing w:line="250" w:lineRule="exact"/>
              <w:rPr>
                <w:rFonts w:eastAsia="仿宋_GB2312"/>
                <w:color w:val="000000"/>
                <w:kern w:val="0"/>
                <w:szCs w:val="21"/>
                <w:lang w:bidi="ar"/>
              </w:rPr>
            </w:pPr>
            <w:r>
              <w:rPr>
                <w:rFonts w:eastAsia="仿宋_GB2312"/>
                <w:color w:val="000000"/>
                <w:kern w:val="0"/>
                <w:szCs w:val="21"/>
                <w:lang w:bidi="ar"/>
              </w:rPr>
              <w:t>《国务院办公厅关于全面推行行政执法公示制度执法全过程记录制度》（国办发〔2018〕118号）。</w:t>
            </w:r>
          </w:p>
        </w:tc>
        <w:tc>
          <w:tcPr>
            <w:tcW w:w="2520" w:type="dxa"/>
            <w:noWrap w:val="0"/>
            <w:tcMar>
              <w:top w:w="15" w:type="dxa"/>
              <w:left w:w="15" w:type="dxa"/>
              <w:right w:w="15" w:type="dxa"/>
            </w:tcMar>
            <w:vAlign w:val="center"/>
          </w:tcPr>
          <w:p>
            <w:pPr>
              <w:widowControl/>
              <w:spacing w:line="250" w:lineRule="exact"/>
              <w:rPr>
                <w:rFonts w:eastAsia="仿宋_GB2312"/>
                <w:color w:val="000000"/>
                <w:kern w:val="0"/>
                <w:szCs w:val="21"/>
                <w:lang w:bidi="ar"/>
              </w:rPr>
            </w:pPr>
            <w:r>
              <w:rPr>
                <w:rFonts w:eastAsia="仿宋_GB2312"/>
                <w:color w:val="000000"/>
                <w:kern w:val="0"/>
                <w:szCs w:val="21"/>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lang w:eastAsia="zh-CN"/>
              </w:rPr>
            </w:pPr>
            <w:r>
              <w:rPr>
                <w:rFonts w:hint="eastAsia" w:eastAsia="仿宋_GB2312"/>
                <w:color w:val="000000"/>
                <w:szCs w:val="21"/>
                <w:lang w:eastAsia="zh-CN"/>
              </w:rPr>
              <w:t>执法局</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szCs w:val="21"/>
                <w:lang w:val="en-US" w:eastAsia="zh-CN"/>
              </w:rPr>
            </w:pPr>
            <w:r>
              <w:rPr>
                <w:rFonts w:hint="eastAsia" w:eastAsia="仿宋_GB2312"/>
                <w:color w:val="000000"/>
                <w:kern w:val="0"/>
                <w:szCs w:val="21"/>
                <w:lang w:val="en-US" w:eastAsia="zh-CN" w:bidi="ar"/>
              </w:rPr>
              <w:t>21</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rPr>
            </w:pPr>
            <w:r>
              <w:rPr>
                <w:rFonts w:eastAsia="仿宋_GB2312"/>
                <w:color w:val="000000"/>
                <w:kern w:val="0"/>
                <w:szCs w:val="21"/>
                <w:lang w:bidi="ar"/>
              </w:rPr>
              <w:t>“双随机一公开”</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监管过程中随机抽取检查对象、随机选派执法检查人员信息，抽查情况及查处结果信息。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rPr>
            </w:pPr>
            <w:r>
              <w:rPr>
                <w:rFonts w:eastAsia="仿宋_GB2312"/>
                <w:color w:val="000000"/>
                <w:kern w:val="0"/>
                <w:szCs w:val="21"/>
                <w:lang w:bidi="ar"/>
              </w:rPr>
              <w:t>《国务院办公厅关于推广随机抽查规范事中事后监管的通知》（国办发〔2015〕58号）；</w:t>
            </w:r>
          </w:p>
        </w:tc>
        <w:tc>
          <w:tcPr>
            <w:tcW w:w="2520" w:type="dxa"/>
            <w:noWrap w:val="0"/>
            <w:tcMar>
              <w:top w:w="15" w:type="dxa"/>
              <w:left w:w="15" w:type="dxa"/>
              <w:right w:w="15" w:type="dxa"/>
            </w:tcMar>
            <w:vAlign w:val="center"/>
          </w:tcPr>
          <w:p>
            <w:pPr>
              <w:widowControl/>
              <w:spacing w:line="250" w:lineRule="exact"/>
              <w:rPr>
                <w:rFonts w:eastAsia="仿宋_GB2312"/>
                <w:color w:val="000000"/>
                <w:szCs w:val="21"/>
              </w:rPr>
            </w:pPr>
            <w:r>
              <w:rPr>
                <w:rFonts w:eastAsia="仿宋_GB2312"/>
                <w:color w:val="000000"/>
                <w:kern w:val="0"/>
                <w:szCs w:val="21"/>
                <w:lang w:bidi="ar"/>
              </w:rPr>
              <w:t>检查及查处结果作出之日起的7个工作日内。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hint="eastAsia" w:eastAsia="仿宋_GB2312"/>
                <w:color w:val="000000"/>
                <w:szCs w:val="21"/>
                <w:lang w:eastAsia="zh-CN"/>
              </w:rPr>
              <w:t>执法局</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rPr>
            </w:pPr>
            <w:r>
              <w:rPr>
                <w:rFonts w:eastAsia="仿宋_GB2312"/>
                <w:color w:val="000000"/>
                <w:kern w:val="0"/>
                <w:szCs w:val="21"/>
                <w:lang w:bidi="ar"/>
              </w:rPr>
              <w:t>政府网站</w:t>
            </w:r>
          </w:p>
        </w:tc>
      </w:tr>
    </w:tbl>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520" w:lineRule="exact"/>
        <w:rPr>
          <w:rFonts w:hint="eastAsia" w:ascii="仿宋_GB2312" w:eastAsia="仿宋_GB2312"/>
          <w:szCs w:val="21"/>
        </w:rPr>
      </w:pPr>
      <w:r>
        <w:rPr>
          <w:rFonts w:hint="eastAsia" w:ascii="仿宋_GB2312" w:eastAsia="仿宋_GB2312"/>
          <w:szCs w:val="21"/>
        </w:rPr>
        <w:t>注：请各单位认真梳理下属公共企事业单位有关基层教育、养老、文化、体育、卫生健康、供水、供电、供气、供热、环境保护、公共交通等与人民群众利益密切相关的信息公开，根据26个领域标准目录汇编要求，因地制宜、实事求是，体现领域特点，对公开事项进行添加、修改、完善，尤其是添加重点领域有关事项。公开主体：具体到科室、岗位；公开渠道：可填写政府网站、两微一端、广播电视、灌南日报、公开查阅点、政务服务中心、便民服务站、入户/现场、发布会、社区/企事业单位/村公示栏（电子屏）、精准推送、其他，政府网站为必填。</w:t>
      </w:r>
    </w:p>
    <w:p>
      <w:pPr>
        <w:tabs>
          <w:tab w:val="left" w:pos="7811"/>
        </w:tabs>
        <w:spacing w:line="20" w:lineRule="exact"/>
        <w:rPr>
          <w:rFonts w:hint="eastAsia" w:ascii="仿宋_GB2312" w:eastAsia="仿宋_GB2312"/>
          <w:sz w:val="30"/>
          <w:szCs w:val="30"/>
        </w:rPr>
      </w:pPr>
    </w:p>
    <w:p/>
    <w:sectPr>
      <w:footerReference r:id="rId3" w:type="default"/>
      <w:pgSz w:w="16838" w:h="11906" w:orient="landscape"/>
      <w:pgMar w:top="1418" w:right="1418" w:bottom="1418" w:left="1418" w:header="1134"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w w:val="90"/>
                              <w:sz w:val="28"/>
                              <w:szCs w:val="28"/>
                            </w:rPr>
                          </w:pPr>
                          <w:r>
                            <w:rPr>
                              <w:rFonts w:hint="eastAsia" w:ascii="宋体" w:hAnsi="宋体" w:cs="宋体"/>
                              <w:w w:val="90"/>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w w:val="90"/>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cs="宋体"/>
                        <w:w w:val="90"/>
                        <w:sz w:val="28"/>
                        <w:szCs w:val="28"/>
                      </w:rPr>
                    </w:pPr>
                    <w:r>
                      <w:rPr>
                        <w:rFonts w:hint="eastAsia" w:ascii="宋体" w:hAnsi="宋体" w:cs="宋体"/>
                        <w:w w:val="90"/>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w w:val="9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30FC9"/>
    <w:rsid w:val="0E100288"/>
    <w:rsid w:val="12B30FC9"/>
    <w:rsid w:val="2D49131A"/>
    <w:rsid w:val="4A810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font61"/>
    <w:basedOn w:val="4"/>
    <w:qFormat/>
    <w:uiPriority w:val="0"/>
    <w:rPr>
      <w:rFonts w:ascii="方正仿宋_GBK" w:hAnsi="方正仿宋_GBK" w:eastAsia="方正仿宋_GBK" w:cs="方正仿宋_GBK"/>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2020-10-27T01:18:00Z</dcterms:created>
  <dc:creator>Administrator</dc:creator>
  <cp:lastModifiedBy>Administrator</cp:lastModifiedBy>
  <dcterms:modified xsi:type="dcterms:W3CDTF">2020-10-27T02:35:44Z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