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00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宋体" w:hAnsi="宋体" w:eastAsia="宋体" w:cs="宋体"/>
          <w:sz w:val="24"/>
          <w:szCs w:val="24"/>
          <w:u w:val="none"/>
          <w:lang w:val="en-US"/>
        </w:rPr>
      </w:pPr>
      <w:r>
        <w:rPr>
          <w:rFonts w:hint="eastAsia" w:ascii="黑体" w:hAnsi="黑体" w:eastAsia="黑体" w:cs="黑体"/>
          <w:sz w:val="32"/>
          <w:szCs w:val="32"/>
          <w:u w:val="none"/>
          <w:lang w:val="en-US" w:eastAsia="zh-CN"/>
        </w:rPr>
        <w:t>附件二</w:t>
      </w:r>
    </w:p>
    <w:p>
      <w:pPr>
        <w:keepNext w:val="0"/>
        <w:keepLines w:val="0"/>
        <w:pageBreakBefore w:val="0"/>
        <w:widowControl w:val="0"/>
        <w:tabs>
          <w:tab w:val="left" w:pos="113"/>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spacing w:val="0"/>
          <w:sz w:val="32"/>
          <w:szCs w:val="32"/>
          <w:u w:val="none"/>
        </w:rPr>
      </w:pPr>
    </w:p>
    <w:p>
      <w:pPr>
        <w:keepNext w:val="0"/>
        <w:keepLines w:val="0"/>
        <w:pageBreakBefore w:val="0"/>
        <w:widowControl w:val="0"/>
        <w:tabs>
          <w:tab w:val="left" w:pos="113"/>
        </w:tabs>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val="0"/>
          <w:bCs/>
          <w:spacing w:val="0"/>
          <w:sz w:val="44"/>
          <w:szCs w:val="44"/>
          <w:u w:val="none"/>
        </w:rPr>
      </w:pPr>
      <w:r>
        <w:rPr>
          <w:rFonts w:hint="default" w:ascii="Times New Roman" w:hAnsi="Times New Roman" w:eastAsia="方正小标宋简体" w:cs="Times New Roman"/>
          <w:b w:val="0"/>
          <w:bCs/>
          <w:spacing w:val="0"/>
          <w:sz w:val="44"/>
          <w:szCs w:val="44"/>
          <w:u w:val="none"/>
        </w:rPr>
        <w:t>灌南县应急管理局202</w:t>
      </w:r>
      <w:r>
        <w:rPr>
          <w:rFonts w:hint="eastAsia" w:ascii="Times New Roman" w:hAnsi="Times New Roman" w:eastAsia="方正小标宋简体" w:cs="Times New Roman"/>
          <w:b w:val="0"/>
          <w:bCs/>
          <w:spacing w:val="0"/>
          <w:sz w:val="44"/>
          <w:szCs w:val="44"/>
          <w:u w:val="none"/>
          <w:lang w:val="en-US" w:eastAsia="zh-CN"/>
        </w:rPr>
        <w:t>1</w:t>
      </w:r>
      <w:r>
        <w:rPr>
          <w:rFonts w:hint="default" w:ascii="Times New Roman" w:hAnsi="Times New Roman" w:eastAsia="方正小标宋简体" w:cs="Times New Roman"/>
          <w:b w:val="0"/>
          <w:bCs/>
          <w:spacing w:val="0"/>
          <w:sz w:val="44"/>
          <w:szCs w:val="44"/>
          <w:u w:val="none"/>
        </w:rPr>
        <w:t>年度安全生产</w:t>
      </w:r>
    </w:p>
    <w:p>
      <w:pPr>
        <w:keepNext w:val="0"/>
        <w:keepLines w:val="0"/>
        <w:pageBreakBefore w:val="0"/>
        <w:widowControl w:val="0"/>
        <w:tabs>
          <w:tab w:val="left" w:pos="113"/>
        </w:tabs>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val="0"/>
          <w:bCs/>
          <w:spacing w:val="0"/>
          <w:sz w:val="44"/>
          <w:szCs w:val="44"/>
          <w:u w:val="none"/>
        </w:rPr>
      </w:pPr>
      <w:r>
        <w:rPr>
          <w:rFonts w:hint="default" w:ascii="Times New Roman" w:hAnsi="Times New Roman" w:eastAsia="方正小标宋简体" w:cs="Times New Roman"/>
          <w:b w:val="0"/>
          <w:bCs/>
          <w:spacing w:val="0"/>
          <w:sz w:val="44"/>
          <w:szCs w:val="44"/>
          <w:u w:val="none"/>
        </w:rPr>
        <w:t>监管执法工作计划</w:t>
      </w:r>
    </w:p>
    <w:p>
      <w:pPr>
        <w:keepNext w:val="0"/>
        <w:keepLines w:val="0"/>
        <w:pageBreakBefore w:val="0"/>
        <w:widowControl w:val="0"/>
        <w:tabs>
          <w:tab w:val="left" w:pos="113"/>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spacing w:val="0"/>
          <w:sz w:val="32"/>
          <w:szCs w:val="32"/>
          <w:u w:val="none"/>
        </w:rPr>
        <w:t>为深入贯彻落实党中央、国务院和省委、省政府，市委、市政府安全生产决策部署，根据国务院安委会《全国安全生产集中整治工作方案》，省委办公厅、省政府办公厅《深入开展安全生产专项整治行动工作方案》和《连云港市深入开展安全生产专项整治行动工作方案》精神，</w:t>
      </w:r>
      <w:r>
        <w:rPr>
          <w:rFonts w:hint="default" w:ascii="Times New Roman" w:hAnsi="Times New Roman" w:eastAsia="仿宋_GB2312" w:cs="Times New Roman"/>
          <w:color w:val="000000"/>
          <w:spacing w:val="0"/>
          <w:sz w:val="32"/>
          <w:szCs w:val="32"/>
          <w:u w:val="none"/>
        </w:rPr>
        <w:t>按照《安全生产法》、《安全生产监管监察职责和行政执法责任追究的规定》（原国家安监总局令第24号）的相关规定，根据原《国家安全监管总局关于印发〈安全生产年度监督检查计划编制办法〉的通知》（原安监总政法〔2017〕150号）的相关规定，结合我县生产经营单位实际状况及目前我局系统目前行政执法人力、设备设施和物力保障水平与能力实际，及影响检查执行的其他因素，特制定灌南县应急管理局202</w:t>
      </w:r>
      <w:r>
        <w:rPr>
          <w:rFonts w:hint="eastAsia" w:ascii="Times New Roman" w:hAnsi="Times New Roman" w:eastAsia="仿宋_GB2312" w:cs="Times New Roman"/>
          <w:color w:val="000000"/>
          <w:spacing w:val="0"/>
          <w:sz w:val="32"/>
          <w:szCs w:val="32"/>
          <w:u w:val="none"/>
          <w:lang w:val="en-US" w:eastAsia="zh-CN"/>
        </w:rPr>
        <w:t>1</w:t>
      </w:r>
      <w:r>
        <w:rPr>
          <w:rFonts w:hint="default" w:ascii="Times New Roman" w:hAnsi="Times New Roman" w:eastAsia="仿宋_GB2312" w:cs="Times New Roman"/>
          <w:color w:val="000000"/>
          <w:spacing w:val="0"/>
          <w:sz w:val="32"/>
          <w:szCs w:val="32"/>
          <w:u w:val="none"/>
        </w:rPr>
        <w:t>年度安全生产监管执法工作计划。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一、指导思想、工作目标和主要任务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以习近平新时代中国特色社会主义思想为指导，认真贯彻十九大</w:t>
      </w:r>
      <w:r>
        <w:rPr>
          <w:rFonts w:hint="default" w:ascii="Times New Roman" w:hAnsi="Times New Roman" w:eastAsia="仿宋_GB2312" w:cs="Times New Roman"/>
          <w:spacing w:val="0"/>
          <w:sz w:val="32"/>
          <w:szCs w:val="32"/>
          <w:u w:val="none"/>
        </w:rPr>
        <w:t>和十九届二中、三中、四中</w:t>
      </w:r>
      <w:r>
        <w:rPr>
          <w:rFonts w:hint="eastAsia" w:ascii="Times New Roman" w:hAnsi="Times New Roman" w:eastAsia="仿宋_GB2312" w:cs="Times New Roman"/>
          <w:spacing w:val="0"/>
          <w:sz w:val="32"/>
          <w:szCs w:val="32"/>
          <w:u w:val="none"/>
          <w:lang w:eastAsia="zh-CN"/>
        </w:rPr>
        <w:t>、</w:t>
      </w:r>
      <w:r>
        <w:rPr>
          <w:rFonts w:hint="eastAsia" w:ascii="Times New Roman" w:hAnsi="Times New Roman" w:eastAsia="仿宋_GB2312" w:cs="Times New Roman"/>
          <w:spacing w:val="0"/>
          <w:sz w:val="32"/>
          <w:szCs w:val="32"/>
          <w:u w:val="none"/>
          <w:lang w:val="en-US" w:eastAsia="zh-CN"/>
        </w:rPr>
        <w:t>五中</w:t>
      </w:r>
      <w:r>
        <w:rPr>
          <w:rFonts w:hint="default" w:ascii="Times New Roman" w:hAnsi="Times New Roman" w:eastAsia="仿宋_GB2312" w:cs="Times New Roman"/>
          <w:color w:val="000000"/>
          <w:spacing w:val="0"/>
          <w:kern w:val="0"/>
          <w:sz w:val="32"/>
          <w:szCs w:val="32"/>
          <w:u w:val="none"/>
        </w:rPr>
        <w:t>会议精神，</w:t>
      </w:r>
      <w:r>
        <w:rPr>
          <w:rFonts w:hint="default" w:ascii="Times New Roman" w:hAnsi="Times New Roman" w:eastAsia="仿宋_GB2312" w:cs="Times New Roman"/>
          <w:spacing w:val="0"/>
          <w:sz w:val="32"/>
          <w:szCs w:val="32"/>
          <w:u w:val="none"/>
        </w:rPr>
        <w:t>认真落实党中央以及省委、省政府，市委、市政府决策部署，牢固树立“四个意识”，坚决做到“两个维护”，深刻汲取“3·21”等事故教训，</w:t>
      </w:r>
      <w:r>
        <w:rPr>
          <w:rFonts w:hint="default" w:ascii="Times New Roman" w:hAnsi="Times New Roman" w:eastAsia="仿宋_GB2312" w:cs="Times New Roman"/>
          <w:color w:val="000000"/>
          <w:spacing w:val="0"/>
          <w:kern w:val="0"/>
          <w:sz w:val="32"/>
          <w:szCs w:val="32"/>
          <w:u w:val="none"/>
        </w:rPr>
        <w:t>以安全发展为统领，以保障人民群众生命财产安全为出发点，坚持“安全第一，预防为主、综合治理”的方针，以服务全县经济社会科学发展、后发先至，深入开展安全生产行政执法，促进各类企业建立自我约束、提升本质安全水平，强化企业安全生产主体责任落实和责任追究，严厉打击非法违法行为，有效消除和控制事故隐患，防止和减少一般生产安全事故，有效遏制重特大事故，促进我县安全生产形势实现根本好转和持续平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（二）工作目标和主要任务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为深入贯彻落实《国务院关于坚持科学发展安全发展促进安全生产形势持续稳定好转的意见》(国发〔2011〕40号）和《中共中央、国务院关于推进安全生产领域改革发展的意见》精神，以“严格源头控制，推进企业安全生产长效管理，落实政府安全生产监管执法职责，有效遏制较大以上事故的发生”为工作目标，通过安全生产监管执法工作计划的有序实施，强化企业安全生产主体责任，进一步规范企业安全生产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以危险化学品、烟花爆竹、冶金等行业（领域）为重点，分级、分类管理，强化安全生产监管工作；通过落实更加明确的岗位责任和安全规范，推进更加完善的技术保障体系和应急救援体系建设；采取更加有效的管理手段和政策措施，实行更加严格的目标考核和责任追究；加大对非法违法生产经营和建设项目违法行为的行政处罚力度；加强安全生产系统化、标准化、科学化“三化管理”，构建安全生产责任网、监督网、保障网“三张网”，提升企业防灾抗灾能力、应急救援能力、事故处置能力“三个能力”，形成安全生产长效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二、行政执法人员数量和执法工作日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全局安全生产监管执法人员</w:t>
      </w:r>
      <w:r>
        <w:rPr>
          <w:rFonts w:hint="default" w:ascii="Times New Roman" w:hAnsi="Times New Roman" w:eastAsia="仿宋_GB2312" w:cs="Times New Roman"/>
          <w:color w:val="auto"/>
          <w:spacing w:val="0"/>
          <w:kern w:val="0"/>
          <w:sz w:val="32"/>
          <w:szCs w:val="32"/>
          <w:u w:val="none"/>
          <w:lang w:val="en-US" w:eastAsia="zh-CN"/>
        </w:rPr>
        <w:t>17</w:t>
      </w:r>
      <w:r>
        <w:rPr>
          <w:rFonts w:hint="default" w:ascii="Times New Roman" w:hAnsi="Times New Roman" w:eastAsia="仿宋_GB2312" w:cs="Times New Roman"/>
          <w:color w:val="auto"/>
          <w:spacing w:val="0"/>
          <w:kern w:val="0"/>
          <w:sz w:val="32"/>
          <w:szCs w:val="32"/>
          <w:u w:val="none"/>
        </w:rPr>
        <w:t>人，执法车4辆，便携式执法设备3套，电脑人均1台。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总法定工作日</w:t>
      </w:r>
      <w:r>
        <w:rPr>
          <w:rFonts w:hint="default" w:ascii="Times New Roman" w:hAnsi="Times New Roman" w:eastAsia="仿宋_GB2312" w:cs="Times New Roman"/>
          <w:color w:val="auto"/>
          <w:spacing w:val="0"/>
          <w:kern w:val="0"/>
          <w:sz w:val="32"/>
          <w:szCs w:val="32"/>
          <w:u w:val="none"/>
          <w:lang w:val="en-US" w:eastAsia="zh-CN"/>
        </w:rPr>
        <w:t>42</w:t>
      </w:r>
      <w:r>
        <w:rPr>
          <w:rFonts w:hint="default" w:ascii="Times New Roman" w:hAnsi="Times New Roman" w:eastAsia="仿宋_GB2312" w:cs="Times New Roman"/>
          <w:color w:val="auto"/>
          <w:spacing w:val="0"/>
          <w:kern w:val="0"/>
          <w:sz w:val="32"/>
          <w:szCs w:val="32"/>
          <w:u w:val="none"/>
        </w:rPr>
        <w:t>50个，其中监督检查工作日</w:t>
      </w:r>
      <w:r>
        <w:rPr>
          <w:rFonts w:hint="default" w:ascii="Times New Roman" w:hAnsi="Times New Roman" w:eastAsia="仿宋_GB2312" w:cs="Times New Roman"/>
          <w:color w:val="auto"/>
          <w:spacing w:val="0"/>
          <w:kern w:val="0"/>
          <w:sz w:val="32"/>
          <w:szCs w:val="32"/>
          <w:u w:val="none"/>
          <w:lang w:val="en-US" w:eastAsia="zh-CN"/>
        </w:rPr>
        <w:t>67</w:t>
      </w:r>
      <w:r>
        <w:rPr>
          <w:rFonts w:hint="default" w:ascii="Times New Roman" w:hAnsi="Times New Roman" w:eastAsia="仿宋_GB2312" w:cs="Times New Roman"/>
          <w:color w:val="auto"/>
          <w:spacing w:val="0"/>
          <w:kern w:val="0"/>
          <w:sz w:val="32"/>
          <w:szCs w:val="32"/>
          <w:u w:val="none"/>
        </w:rPr>
        <w:t>2个、其他执法工作日1624个、非执法工作日</w:t>
      </w:r>
      <w:r>
        <w:rPr>
          <w:rFonts w:hint="default" w:ascii="Times New Roman" w:hAnsi="Times New Roman" w:eastAsia="仿宋_GB2312" w:cs="Times New Roman"/>
          <w:color w:val="auto"/>
          <w:spacing w:val="0"/>
          <w:kern w:val="0"/>
          <w:sz w:val="32"/>
          <w:szCs w:val="32"/>
          <w:u w:val="none"/>
          <w:lang w:val="en-US" w:eastAsia="zh-CN"/>
        </w:rPr>
        <w:t>1954</w:t>
      </w:r>
      <w:r>
        <w:rPr>
          <w:rFonts w:hint="default" w:ascii="Times New Roman" w:hAnsi="Times New Roman" w:eastAsia="仿宋_GB2312" w:cs="Times New Roman"/>
          <w:color w:val="auto"/>
          <w:spacing w:val="0"/>
          <w:kern w:val="0"/>
          <w:sz w:val="32"/>
          <w:szCs w:val="32"/>
          <w:u w:val="none"/>
        </w:rPr>
        <w:t>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三、重点检查安排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突出对涉及重点监管危险化学品、重点监管危险化工工艺和危险化学品重大危险源的生产经营单位；烟花爆竹批发、零售单位；金属冶炼生产经营单位；涉爆粉尘生产经营单位；安全生产标准化未达标的生产经营单位；安全生产风险分级管控和事故隐患排查治理落实不到位的生产经营单位；近三年发生过造成人员死亡的生产安全事故的生产经营单位；纳入安全生产失信行为联合惩戒对象的生产经营单位；重大生产安全事故隐患的、试生产或者复工复产生产经营单位等共</w:t>
      </w:r>
      <w:r>
        <w:rPr>
          <w:rFonts w:hint="eastAsia" w:ascii="Times New Roman" w:hAnsi="Times New Roman" w:eastAsia="仿宋_GB2312" w:cs="Times New Roman"/>
          <w:color w:val="000000"/>
          <w:spacing w:val="0"/>
          <w:kern w:val="0"/>
          <w:sz w:val="32"/>
          <w:szCs w:val="32"/>
          <w:u w:val="none"/>
          <w:lang w:val="en-US" w:eastAsia="zh-CN"/>
        </w:rPr>
        <w:t>78</w:t>
      </w:r>
      <w:r>
        <w:rPr>
          <w:rFonts w:hint="default" w:ascii="Times New Roman" w:hAnsi="Times New Roman" w:eastAsia="仿宋_GB2312" w:cs="Times New Roman"/>
          <w:color w:val="000000"/>
          <w:spacing w:val="0"/>
          <w:kern w:val="0"/>
          <w:sz w:val="32"/>
          <w:szCs w:val="32"/>
          <w:u w:val="none"/>
        </w:rPr>
        <w:t>家由大队和科室根据实际情况和任务分配做重点检查安排。在年度监督执法检查计划中占比73%。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重点检查单位名单和时间安排见附件1。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四、一般检查安排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对一般机械加工、电子、纺织、农业、食品等重点检查单位以外的生产经营单位和下级安全监管部门负责监督检查的部分生产经营单位30家由大队和科室按照原国家安监总局24令第八条规定的内容做一般检查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一般检查安排名单和时间安排见附件2。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五、执法工作日计算依据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（一）其他执法工作日：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1.开展安全生产综合监管250个工作日；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2.实施核查行政许可180个工作日：危化品经营许可证（乙种）和烟花爆竹经营许可证（零售）核查、协助市局进行危化品设立安全审查、安全设施设计审查等100个工作日、协助市局进行冶金项目“三同时”80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3.组织生产安全事故调查和处理240个工作日8起×30工作日/起=240个工作日；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4.调查核实安全生产投诉举报110个工作日：22起×5工作日/起=110个工作日；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5.参加有关部门联合执法200个工作日：各种大检查，县安委会办公室日常工作和联合执法行动200个工作日；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6.办理有关法律、法规、规章规定的登记、备案180个工作日：</w:t>
      </w:r>
      <w:r>
        <w:rPr>
          <w:rFonts w:hint="default" w:ascii="Times New Roman" w:hAnsi="Times New Roman" w:eastAsia="仿宋_GB2312" w:cs="Times New Roman"/>
          <w:spacing w:val="0"/>
          <w:kern w:val="0"/>
          <w:sz w:val="32"/>
          <w:szCs w:val="32"/>
          <w:u w:val="none"/>
        </w:rPr>
        <w:t>建设项目“三同时”及竣工</w:t>
      </w:r>
      <w:r>
        <w:rPr>
          <w:rFonts w:hint="default" w:ascii="Times New Roman" w:hAnsi="Times New Roman" w:eastAsia="仿宋_GB2312" w:cs="Times New Roman"/>
          <w:color w:val="000000"/>
          <w:spacing w:val="0"/>
          <w:kern w:val="0"/>
          <w:sz w:val="32"/>
          <w:szCs w:val="32"/>
          <w:u w:val="none"/>
        </w:rPr>
        <w:t>验收报告审查、易制毒化学品、重大危险源、应急预案、剧毒化学品以及其他危险化学品生产储存和使用装置定期评价报告；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7.开展安全生产宣传教育培训100个工作日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8.办理行政复议、行政应诉40个工作日；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9.完成本级人民政府或者上级应急管理部门安排的执法工作任务60个工作日。</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both"/>
        <w:textAlignment w:val="auto"/>
        <w:rPr>
          <w:rFonts w:hint="default" w:ascii="Times New Roman" w:hAnsi="Times New Roman" w:eastAsia="仿宋_GB2312" w:cs="Times New Roman"/>
          <w:color w:val="000000"/>
          <w:spacing w:val="6"/>
          <w:kern w:val="0"/>
          <w:sz w:val="32"/>
          <w:szCs w:val="32"/>
          <w:u w:val="none"/>
        </w:rPr>
      </w:pPr>
      <w:r>
        <w:rPr>
          <w:rFonts w:hint="default" w:ascii="Times New Roman" w:hAnsi="Times New Roman" w:eastAsia="仿宋_GB2312" w:cs="Times New Roman"/>
          <w:color w:val="000000"/>
          <w:spacing w:val="6"/>
          <w:kern w:val="0"/>
          <w:sz w:val="32"/>
          <w:szCs w:val="32"/>
          <w:u w:val="none"/>
        </w:rPr>
        <w:t>10.推进委托执法工作264个工作日：2×11×12=264个工作日。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共250+180+240+110+200+180+100+40+60+264=1624个工作日。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（二）非执法工作日：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1.机关值班250个工作日：250×0.5×2=250个工作日；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2.学习1</w:t>
      </w:r>
      <w:r>
        <w:rPr>
          <w:rFonts w:hint="default" w:ascii="Times New Roman" w:hAnsi="Times New Roman" w:eastAsia="仿宋_GB2312" w:cs="Times New Roman"/>
          <w:color w:val="000000"/>
          <w:spacing w:val="0"/>
          <w:kern w:val="0"/>
          <w:sz w:val="32"/>
          <w:szCs w:val="32"/>
          <w:u w:val="none"/>
          <w:lang w:val="en-US" w:eastAsia="zh-CN"/>
        </w:rPr>
        <w:t>075</w:t>
      </w:r>
      <w:r>
        <w:rPr>
          <w:rFonts w:hint="default" w:ascii="Times New Roman" w:hAnsi="Times New Roman" w:eastAsia="仿宋_GB2312" w:cs="Times New Roman"/>
          <w:color w:val="000000"/>
          <w:spacing w:val="0"/>
          <w:kern w:val="0"/>
          <w:sz w:val="32"/>
          <w:szCs w:val="32"/>
          <w:u w:val="none"/>
        </w:rPr>
        <w:t>个工作日：每周五下午（固定日学习）政治业务学习0.5×52×</w:t>
      </w:r>
      <w:r>
        <w:rPr>
          <w:rFonts w:hint="default" w:ascii="Times New Roman" w:hAnsi="Times New Roman" w:eastAsia="仿宋_GB2312" w:cs="Times New Roman"/>
          <w:color w:val="000000"/>
          <w:spacing w:val="0"/>
          <w:kern w:val="0"/>
          <w:sz w:val="32"/>
          <w:szCs w:val="32"/>
          <w:u w:val="none"/>
          <w:lang w:val="en-US" w:eastAsia="zh-CN"/>
        </w:rPr>
        <w:t>17</w:t>
      </w:r>
      <w:r>
        <w:rPr>
          <w:rFonts w:hint="default" w:ascii="Times New Roman" w:hAnsi="Times New Roman" w:eastAsia="仿宋_GB2312" w:cs="Times New Roman"/>
          <w:color w:val="000000"/>
          <w:spacing w:val="0"/>
          <w:kern w:val="0"/>
          <w:sz w:val="32"/>
          <w:szCs w:val="32"/>
          <w:u w:val="none"/>
        </w:rPr>
        <w:t>=</w:t>
      </w:r>
      <w:r>
        <w:rPr>
          <w:rFonts w:hint="default" w:ascii="Times New Roman" w:hAnsi="Times New Roman" w:eastAsia="仿宋_GB2312" w:cs="Times New Roman"/>
          <w:color w:val="000000"/>
          <w:spacing w:val="0"/>
          <w:kern w:val="0"/>
          <w:sz w:val="32"/>
          <w:szCs w:val="32"/>
          <w:u w:val="none"/>
          <w:lang w:val="en-US" w:eastAsia="zh-CN"/>
        </w:rPr>
        <w:t>442</w:t>
      </w:r>
      <w:r>
        <w:rPr>
          <w:rFonts w:hint="default" w:ascii="Times New Roman" w:hAnsi="Times New Roman" w:eastAsia="仿宋_GB2312" w:cs="Times New Roman"/>
          <w:color w:val="000000"/>
          <w:spacing w:val="0"/>
          <w:kern w:val="0"/>
          <w:sz w:val="32"/>
          <w:szCs w:val="32"/>
          <w:u w:val="none"/>
        </w:rPr>
        <w:t>个工作日、公务员在线学习10×</w:t>
      </w:r>
      <w:r>
        <w:rPr>
          <w:rFonts w:hint="default" w:ascii="Times New Roman" w:hAnsi="Times New Roman" w:eastAsia="仿宋_GB2312" w:cs="Times New Roman"/>
          <w:color w:val="000000"/>
          <w:spacing w:val="0"/>
          <w:kern w:val="0"/>
          <w:sz w:val="32"/>
          <w:szCs w:val="32"/>
          <w:u w:val="none"/>
          <w:lang w:val="en-US" w:eastAsia="zh-CN"/>
        </w:rPr>
        <w:t>17</w:t>
      </w:r>
      <w:r>
        <w:rPr>
          <w:rFonts w:hint="default" w:ascii="Times New Roman" w:hAnsi="Times New Roman" w:eastAsia="仿宋_GB2312" w:cs="Times New Roman"/>
          <w:color w:val="000000"/>
          <w:spacing w:val="0"/>
          <w:kern w:val="0"/>
          <w:sz w:val="32"/>
          <w:szCs w:val="32"/>
          <w:u w:val="none"/>
        </w:rPr>
        <w:t>=</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70个工作日、执法换证培训5×</w:t>
      </w:r>
      <w:r>
        <w:rPr>
          <w:rFonts w:hint="default" w:ascii="Times New Roman" w:hAnsi="Times New Roman" w:eastAsia="仿宋_GB2312" w:cs="Times New Roman"/>
          <w:color w:val="000000"/>
          <w:spacing w:val="0"/>
          <w:kern w:val="0"/>
          <w:sz w:val="32"/>
          <w:szCs w:val="32"/>
          <w:u w:val="none"/>
          <w:lang w:val="en-US" w:eastAsia="zh-CN"/>
        </w:rPr>
        <w:t>17</w:t>
      </w:r>
      <w:r>
        <w:rPr>
          <w:rFonts w:hint="default" w:ascii="Times New Roman" w:hAnsi="Times New Roman" w:eastAsia="仿宋_GB2312" w:cs="Times New Roman"/>
          <w:color w:val="000000"/>
          <w:spacing w:val="0"/>
          <w:kern w:val="0"/>
          <w:sz w:val="32"/>
          <w:szCs w:val="32"/>
          <w:u w:val="none"/>
        </w:rPr>
        <w:t>=</w:t>
      </w:r>
      <w:r>
        <w:rPr>
          <w:rFonts w:hint="default" w:ascii="Times New Roman" w:hAnsi="Times New Roman" w:eastAsia="仿宋_GB2312" w:cs="Times New Roman"/>
          <w:color w:val="000000"/>
          <w:spacing w:val="0"/>
          <w:kern w:val="0"/>
          <w:sz w:val="32"/>
          <w:szCs w:val="32"/>
          <w:u w:val="none"/>
          <w:lang w:val="en-US" w:eastAsia="zh-CN"/>
        </w:rPr>
        <w:t>85</w:t>
      </w:r>
      <w:r>
        <w:rPr>
          <w:rFonts w:hint="default" w:ascii="Times New Roman" w:hAnsi="Times New Roman" w:eastAsia="仿宋_GB2312" w:cs="Times New Roman"/>
          <w:color w:val="000000"/>
          <w:spacing w:val="0"/>
          <w:kern w:val="0"/>
          <w:sz w:val="32"/>
          <w:szCs w:val="32"/>
          <w:u w:val="none"/>
        </w:rPr>
        <w:t>个工作日、业务培训80个工作日、安全生产年终目标考核和各类综合业务考核60个工作日、会议平均每月2次，12×2×</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w:t>
      </w:r>
      <w:r>
        <w:rPr>
          <w:rFonts w:hint="default" w:ascii="Times New Roman" w:hAnsi="Times New Roman" w:eastAsia="仿宋_GB2312" w:cs="Times New Roman"/>
          <w:color w:val="000000"/>
          <w:spacing w:val="0"/>
          <w:kern w:val="0"/>
          <w:sz w:val="32"/>
          <w:szCs w:val="32"/>
          <w:u w:val="none"/>
          <w:lang w:val="en-US" w:eastAsia="zh-CN"/>
        </w:rPr>
        <w:t>408</w:t>
      </w:r>
      <w:r>
        <w:rPr>
          <w:rFonts w:hint="default" w:ascii="Times New Roman" w:hAnsi="Times New Roman" w:eastAsia="仿宋_GB2312" w:cs="Times New Roman"/>
          <w:color w:val="000000"/>
          <w:spacing w:val="0"/>
          <w:kern w:val="0"/>
          <w:sz w:val="32"/>
          <w:szCs w:val="32"/>
          <w:u w:val="none"/>
        </w:rPr>
        <w:t>个工作日，全局总共安排</w:t>
      </w:r>
      <w:r>
        <w:rPr>
          <w:rFonts w:hint="default" w:ascii="Times New Roman" w:hAnsi="Times New Roman" w:eastAsia="仿宋_GB2312" w:cs="Times New Roman"/>
          <w:color w:val="000000"/>
          <w:spacing w:val="0"/>
          <w:kern w:val="0"/>
          <w:sz w:val="32"/>
          <w:szCs w:val="32"/>
          <w:u w:val="none"/>
          <w:lang w:val="en-US" w:eastAsia="zh-CN"/>
        </w:rPr>
        <w:t>1245</w:t>
      </w:r>
      <w:r>
        <w:rPr>
          <w:rFonts w:hint="default" w:ascii="Times New Roman" w:hAnsi="Times New Roman" w:eastAsia="仿宋_GB2312" w:cs="Times New Roman"/>
          <w:color w:val="000000"/>
          <w:spacing w:val="0"/>
          <w:kern w:val="0"/>
          <w:sz w:val="32"/>
          <w:szCs w:val="32"/>
          <w:u w:val="none"/>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3.检查指导下级安全监管执法机关工作</w:t>
      </w:r>
      <w:r>
        <w:rPr>
          <w:rFonts w:hint="default"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8个工作日：4×</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w:t>
      </w:r>
      <w:r>
        <w:rPr>
          <w:rFonts w:hint="default"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8个工作日；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4.党群活动</w:t>
      </w:r>
      <w:r>
        <w:rPr>
          <w:rFonts w:hint="default" w:ascii="Times New Roman" w:hAnsi="Times New Roman" w:eastAsia="仿宋_GB2312" w:cs="Times New Roman"/>
          <w:color w:val="000000"/>
          <w:spacing w:val="0"/>
          <w:kern w:val="0"/>
          <w:sz w:val="32"/>
          <w:szCs w:val="32"/>
          <w:u w:val="none"/>
          <w:lang w:val="en-US" w:eastAsia="zh-CN"/>
        </w:rPr>
        <w:t>153</w:t>
      </w:r>
      <w:r>
        <w:rPr>
          <w:rFonts w:hint="default" w:ascii="Times New Roman" w:hAnsi="Times New Roman" w:eastAsia="仿宋_GB2312" w:cs="Times New Roman"/>
          <w:color w:val="000000"/>
          <w:spacing w:val="0"/>
          <w:kern w:val="0"/>
          <w:sz w:val="32"/>
          <w:szCs w:val="32"/>
          <w:u w:val="none"/>
        </w:rPr>
        <w:t>个工作日：参观学习调研5×</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w:t>
      </w:r>
      <w:r>
        <w:rPr>
          <w:rFonts w:hint="default"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5个工作日、联系点帮扶活动4×</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w:t>
      </w:r>
      <w:r>
        <w:rPr>
          <w:rFonts w:hint="default"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8工作日；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5.病假、事假</w:t>
      </w:r>
      <w:r>
        <w:rPr>
          <w:rFonts w:hint="default"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8个工作日：4×</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w:t>
      </w:r>
      <w:r>
        <w:rPr>
          <w:rFonts w:hint="default" w:ascii="Times New Roman" w:hAnsi="Times New Roman" w:eastAsia="仿宋_GB2312" w:cs="Times New Roman"/>
          <w:color w:val="000000"/>
          <w:spacing w:val="0"/>
          <w:kern w:val="0"/>
          <w:sz w:val="32"/>
          <w:szCs w:val="32"/>
          <w:u w:val="none"/>
          <w:lang w:val="en-US" w:eastAsia="zh-CN"/>
        </w:rPr>
        <w:t>68</w:t>
      </w:r>
      <w:r>
        <w:rPr>
          <w:rFonts w:hint="default" w:ascii="Times New Roman" w:hAnsi="Times New Roman" w:eastAsia="仿宋_GB2312" w:cs="Times New Roman"/>
          <w:color w:val="000000"/>
          <w:spacing w:val="0"/>
          <w:kern w:val="0"/>
          <w:sz w:val="32"/>
          <w:szCs w:val="32"/>
          <w:u w:val="none"/>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6.法定年休假、探亲假、婚（丧）假</w:t>
      </w:r>
      <w:r>
        <w:rPr>
          <w:rFonts w:hint="default" w:ascii="Times New Roman" w:hAnsi="Times New Roman" w:eastAsia="仿宋_GB2312" w:cs="Times New Roman"/>
          <w:color w:val="000000"/>
          <w:spacing w:val="0"/>
          <w:kern w:val="0"/>
          <w:sz w:val="32"/>
          <w:szCs w:val="32"/>
          <w:u w:val="none"/>
          <w:lang w:val="en-US" w:eastAsia="zh-CN"/>
        </w:rPr>
        <w:t>255</w:t>
      </w:r>
      <w:r>
        <w:rPr>
          <w:rFonts w:hint="default" w:ascii="Times New Roman" w:hAnsi="Times New Roman" w:eastAsia="仿宋_GB2312" w:cs="Times New Roman"/>
          <w:color w:val="000000"/>
          <w:spacing w:val="0"/>
          <w:kern w:val="0"/>
          <w:sz w:val="32"/>
          <w:szCs w:val="32"/>
          <w:u w:val="none"/>
        </w:rPr>
        <w:t>个工作日：平均</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7×</w:t>
      </w:r>
      <w:r>
        <w:rPr>
          <w:rFonts w:hint="default" w:ascii="Times New Roman" w:hAnsi="Times New Roman" w:eastAsia="仿宋_GB2312" w:cs="Times New Roman"/>
          <w:color w:val="000000"/>
          <w:spacing w:val="0"/>
          <w:kern w:val="0"/>
          <w:sz w:val="32"/>
          <w:szCs w:val="32"/>
          <w:u w:val="none"/>
          <w:lang w:val="en-US" w:eastAsia="zh-CN"/>
        </w:rPr>
        <w:t>15</w:t>
      </w:r>
      <w:r>
        <w:rPr>
          <w:rFonts w:hint="default" w:ascii="Times New Roman" w:hAnsi="Times New Roman" w:eastAsia="仿宋_GB2312" w:cs="Times New Roman"/>
          <w:color w:val="000000"/>
          <w:spacing w:val="0"/>
          <w:kern w:val="0"/>
          <w:sz w:val="32"/>
          <w:szCs w:val="32"/>
          <w:u w:val="none"/>
        </w:rPr>
        <w:t>=</w:t>
      </w:r>
      <w:r>
        <w:rPr>
          <w:rFonts w:hint="default" w:ascii="Times New Roman" w:hAnsi="Times New Roman" w:eastAsia="仿宋_GB2312" w:cs="Times New Roman"/>
          <w:color w:val="000000"/>
          <w:spacing w:val="0"/>
          <w:kern w:val="0"/>
          <w:sz w:val="32"/>
          <w:szCs w:val="32"/>
          <w:u w:val="none"/>
          <w:lang w:val="en-US" w:eastAsia="zh-CN"/>
        </w:rPr>
        <w:t>255</w:t>
      </w:r>
      <w:r>
        <w:rPr>
          <w:rFonts w:hint="default" w:ascii="Times New Roman" w:hAnsi="Times New Roman" w:eastAsia="仿宋_GB2312" w:cs="Times New Roman"/>
          <w:color w:val="000000"/>
          <w:spacing w:val="0"/>
          <w:kern w:val="0"/>
          <w:sz w:val="32"/>
          <w:szCs w:val="32"/>
          <w:u w:val="none"/>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共250+1</w:t>
      </w:r>
      <w:r>
        <w:rPr>
          <w:rFonts w:hint="default" w:ascii="Times New Roman" w:hAnsi="Times New Roman" w:eastAsia="仿宋_GB2312" w:cs="Times New Roman"/>
          <w:color w:val="000000"/>
          <w:spacing w:val="0"/>
          <w:kern w:val="0"/>
          <w:sz w:val="32"/>
          <w:szCs w:val="32"/>
          <w:u w:val="none"/>
          <w:lang w:val="en-US" w:eastAsia="zh-CN"/>
        </w:rPr>
        <w:t>245</w:t>
      </w:r>
      <w:r>
        <w:rPr>
          <w:rFonts w:hint="default" w:ascii="Times New Roman" w:hAnsi="Times New Roman" w:eastAsia="仿宋_GB2312" w:cs="Times New Roman"/>
          <w:color w:val="000000"/>
          <w:spacing w:val="0"/>
          <w:kern w:val="0"/>
          <w:sz w:val="32"/>
          <w:szCs w:val="32"/>
          <w:u w:val="none"/>
        </w:rPr>
        <w:t>+</w:t>
      </w:r>
      <w:r>
        <w:rPr>
          <w:rFonts w:hint="default" w:ascii="Times New Roman" w:hAnsi="Times New Roman" w:eastAsia="仿宋_GB2312" w:cs="Times New Roman"/>
          <w:color w:val="000000"/>
          <w:spacing w:val="0"/>
          <w:kern w:val="0"/>
          <w:sz w:val="32"/>
          <w:szCs w:val="32"/>
          <w:u w:val="none"/>
          <w:lang w:val="en-US" w:eastAsia="zh-CN"/>
        </w:rPr>
        <w:t>68</w:t>
      </w:r>
      <w:r>
        <w:rPr>
          <w:rFonts w:hint="default" w:ascii="Times New Roman" w:hAnsi="Times New Roman" w:eastAsia="仿宋_GB2312" w:cs="Times New Roman"/>
          <w:color w:val="000000"/>
          <w:spacing w:val="0"/>
          <w:kern w:val="0"/>
          <w:sz w:val="32"/>
          <w:szCs w:val="32"/>
          <w:u w:val="none"/>
        </w:rPr>
        <w:t>+</w:t>
      </w:r>
      <w:r>
        <w:rPr>
          <w:rFonts w:hint="default" w:ascii="Times New Roman" w:hAnsi="Times New Roman" w:eastAsia="仿宋_GB2312" w:cs="Times New Roman"/>
          <w:color w:val="000000"/>
          <w:spacing w:val="0"/>
          <w:kern w:val="0"/>
          <w:sz w:val="32"/>
          <w:szCs w:val="32"/>
          <w:u w:val="none"/>
          <w:lang w:val="en-US" w:eastAsia="zh-CN"/>
        </w:rPr>
        <w:t>15</w:t>
      </w:r>
      <w:r>
        <w:rPr>
          <w:rFonts w:hint="default" w:ascii="Times New Roman" w:hAnsi="Times New Roman" w:eastAsia="仿宋_GB2312" w:cs="Times New Roman"/>
          <w:color w:val="000000"/>
          <w:spacing w:val="0"/>
          <w:kern w:val="0"/>
          <w:sz w:val="32"/>
          <w:szCs w:val="32"/>
          <w:u w:val="none"/>
        </w:rPr>
        <w:t>3+</w:t>
      </w:r>
      <w:r>
        <w:rPr>
          <w:rFonts w:hint="default"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8+</w:t>
      </w:r>
      <w:r>
        <w:rPr>
          <w:rFonts w:hint="default" w:ascii="Times New Roman" w:hAnsi="Times New Roman" w:eastAsia="仿宋_GB2312" w:cs="Times New Roman"/>
          <w:color w:val="000000"/>
          <w:spacing w:val="0"/>
          <w:kern w:val="0"/>
          <w:sz w:val="32"/>
          <w:szCs w:val="32"/>
          <w:u w:val="none"/>
          <w:lang w:val="en-US" w:eastAsia="zh-CN"/>
        </w:rPr>
        <w:t>1</w:t>
      </w:r>
      <w:r>
        <w:rPr>
          <w:rFonts w:hint="default" w:ascii="Times New Roman" w:hAnsi="Times New Roman" w:eastAsia="仿宋_GB2312" w:cs="Times New Roman"/>
          <w:color w:val="000000"/>
          <w:spacing w:val="0"/>
          <w:kern w:val="0"/>
          <w:sz w:val="32"/>
          <w:szCs w:val="32"/>
          <w:u w:val="none"/>
        </w:rPr>
        <w:t xml:space="preserve">70= </w:t>
      </w:r>
      <w:r>
        <w:rPr>
          <w:rFonts w:hint="default" w:ascii="Times New Roman" w:hAnsi="Times New Roman" w:eastAsia="仿宋_GB2312" w:cs="Times New Roman"/>
          <w:color w:val="000000"/>
          <w:spacing w:val="0"/>
          <w:kern w:val="0"/>
          <w:sz w:val="32"/>
          <w:szCs w:val="32"/>
          <w:u w:val="none"/>
          <w:lang w:val="en-US" w:eastAsia="zh-CN"/>
        </w:rPr>
        <w:t>1954</w:t>
      </w:r>
      <w:r>
        <w:rPr>
          <w:rFonts w:hint="default" w:ascii="Times New Roman" w:hAnsi="Times New Roman" w:eastAsia="仿宋_GB2312" w:cs="Times New Roman"/>
          <w:color w:val="000000"/>
          <w:spacing w:val="0"/>
          <w:kern w:val="0"/>
          <w:sz w:val="32"/>
          <w:szCs w:val="32"/>
          <w:u w:val="none"/>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（三）执法检查工作日：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1.总法定</w:t>
      </w:r>
      <w:r>
        <w:rPr>
          <w:rFonts w:hint="default" w:ascii="Times New Roman" w:hAnsi="Times New Roman" w:eastAsia="仿宋_GB2312" w:cs="Times New Roman"/>
          <w:color w:val="auto"/>
          <w:spacing w:val="0"/>
          <w:kern w:val="0"/>
          <w:sz w:val="32"/>
          <w:szCs w:val="32"/>
          <w:u w:val="none"/>
          <w:lang w:val="en-US" w:eastAsia="zh-CN"/>
        </w:rPr>
        <w:t>42</w:t>
      </w:r>
      <w:r>
        <w:rPr>
          <w:rFonts w:hint="default" w:ascii="Times New Roman" w:hAnsi="Times New Roman" w:eastAsia="仿宋_GB2312" w:cs="Times New Roman"/>
          <w:color w:val="auto"/>
          <w:spacing w:val="0"/>
          <w:kern w:val="0"/>
          <w:sz w:val="32"/>
          <w:szCs w:val="32"/>
          <w:u w:val="none"/>
        </w:rPr>
        <w:t>50个工作日：（365天/年-5</w:t>
      </w:r>
      <w:r>
        <w:rPr>
          <w:rFonts w:hint="eastAsia" w:ascii="Times New Roman" w:hAnsi="Times New Roman" w:eastAsia="仿宋_GB2312" w:cs="Times New Roman"/>
          <w:color w:val="auto"/>
          <w:spacing w:val="0"/>
          <w:kern w:val="0"/>
          <w:sz w:val="32"/>
          <w:szCs w:val="32"/>
          <w:u w:val="none"/>
          <w:lang w:val="en-US" w:eastAsia="zh-CN"/>
        </w:rPr>
        <w:t>3</w:t>
      </w:r>
      <w:r>
        <w:rPr>
          <w:rFonts w:hint="default" w:ascii="Times New Roman" w:hAnsi="Times New Roman" w:eastAsia="仿宋_GB2312" w:cs="Times New Roman"/>
          <w:color w:val="auto"/>
          <w:spacing w:val="0"/>
          <w:kern w:val="0"/>
          <w:sz w:val="32"/>
          <w:szCs w:val="32"/>
          <w:u w:val="none"/>
        </w:rPr>
        <w:t>周/年×2法定休息日/周-11天法定假日）×</w:t>
      </w:r>
      <w:r>
        <w:rPr>
          <w:rFonts w:hint="default" w:ascii="Times New Roman" w:hAnsi="Times New Roman" w:eastAsia="仿宋_GB2312" w:cs="Times New Roman"/>
          <w:color w:val="auto"/>
          <w:spacing w:val="0"/>
          <w:kern w:val="0"/>
          <w:sz w:val="32"/>
          <w:szCs w:val="32"/>
          <w:u w:val="none"/>
          <w:lang w:val="en-US" w:eastAsia="zh-CN"/>
        </w:rPr>
        <w:t>1</w:t>
      </w:r>
      <w:r>
        <w:rPr>
          <w:rFonts w:hint="default" w:ascii="Times New Roman" w:hAnsi="Times New Roman" w:eastAsia="仿宋_GB2312" w:cs="Times New Roman"/>
          <w:color w:val="auto"/>
          <w:spacing w:val="0"/>
          <w:kern w:val="0"/>
          <w:sz w:val="32"/>
          <w:szCs w:val="32"/>
          <w:u w:val="none"/>
        </w:rPr>
        <w:t>7人=</w:t>
      </w:r>
      <w:r>
        <w:rPr>
          <w:rFonts w:hint="default" w:ascii="Times New Roman" w:hAnsi="Times New Roman" w:eastAsia="仿宋_GB2312" w:cs="Times New Roman"/>
          <w:color w:val="auto"/>
          <w:spacing w:val="0"/>
          <w:kern w:val="0"/>
          <w:sz w:val="32"/>
          <w:szCs w:val="32"/>
          <w:u w:val="none"/>
          <w:lang w:val="en-US" w:eastAsia="zh-CN"/>
        </w:rPr>
        <w:t>42</w:t>
      </w:r>
      <w:r>
        <w:rPr>
          <w:rFonts w:hint="default" w:ascii="Times New Roman" w:hAnsi="Times New Roman" w:eastAsia="仿宋_GB2312" w:cs="Times New Roman"/>
          <w:color w:val="auto"/>
          <w:spacing w:val="0"/>
          <w:kern w:val="0"/>
          <w:sz w:val="32"/>
          <w:szCs w:val="32"/>
          <w:u w:val="none"/>
        </w:rPr>
        <w:t>50个工作日。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2.执法检查</w:t>
      </w:r>
      <w:r>
        <w:rPr>
          <w:rFonts w:hint="default" w:ascii="Times New Roman" w:hAnsi="Times New Roman" w:eastAsia="仿宋_GB2312" w:cs="Times New Roman"/>
          <w:color w:val="auto"/>
          <w:spacing w:val="0"/>
          <w:kern w:val="0"/>
          <w:sz w:val="32"/>
          <w:szCs w:val="32"/>
          <w:u w:val="none"/>
          <w:lang w:val="en-US" w:eastAsia="zh-CN"/>
        </w:rPr>
        <w:t>672</w:t>
      </w:r>
      <w:r>
        <w:rPr>
          <w:rFonts w:hint="default" w:ascii="Times New Roman" w:hAnsi="Times New Roman" w:eastAsia="仿宋_GB2312" w:cs="Times New Roman"/>
          <w:color w:val="auto"/>
          <w:spacing w:val="0"/>
          <w:kern w:val="0"/>
          <w:sz w:val="32"/>
          <w:szCs w:val="32"/>
          <w:u w:val="none"/>
        </w:rPr>
        <w:t>个工作日：执法工作日=总法定工作日－其他执法工作日-非执法工作日即：</w:t>
      </w:r>
      <w:r>
        <w:rPr>
          <w:rFonts w:hint="default" w:ascii="Times New Roman" w:hAnsi="Times New Roman" w:eastAsia="仿宋_GB2312" w:cs="Times New Roman"/>
          <w:color w:val="auto"/>
          <w:spacing w:val="0"/>
          <w:kern w:val="0"/>
          <w:sz w:val="32"/>
          <w:szCs w:val="32"/>
          <w:u w:val="none"/>
          <w:lang w:val="en-US" w:eastAsia="zh-CN"/>
        </w:rPr>
        <w:t>42</w:t>
      </w:r>
      <w:r>
        <w:rPr>
          <w:rFonts w:hint="default" w:ascii="Times New Roman" w:hAnsi="Times New Roman" w:eastAsia="仿宋_GB2312" w:cs="Times New Roman"/>
          <w:color w:val="auto"/>
          <w:spacing w:val="0"/>
          <w:kern w:val="0"/>
          <w:sz w:val="32"/>
          <w:szCs w:val="32"/>
          <w:u w:val="none"/>
        </w:rPr>
        <w:t>50-1624-</w:t>
      </w:r>
      <w:r>
        <w:rPr>
          <w:rFonts w:hint="default" w:ascii="Times New Roman" w:hAnsi="Times New Roman" w:eastAsia="仿宋_GB2312" w:cs="Times New Roman"/>
          <w:color w:val="auto"/>
          <w:spacing w:val="0"/>
          <w:kern w:val="0"/>
          <w:sz w:val="32"/>
          <w:szCs w:val="32"/>
          <w:u w:val="none"/>
          <w:lang w:val="en-US" w:eastAsia="zh-CN"/>
        </w:rPr>
        <w:t>195</w:t>
      </w:r>
      <w:r>
        <w:rPr>
          <w:rFonts w:hint="default" w:ascii="Times New Roman" w:hAnsi="Times New Roman" w:eastAsia="仿宋_GB2312" w:cs="Times New Roman"/>
          <w:color w:val="auto"/>
          <w:spacing w:val="0"/>
          <w:kern w:val="0"/>
          <w:sz w:val="32"/>
          <w:szCs w:val="32"/>
          <w:u w:val="none"/>
        </w:rPr>
        <w:t>4=</w:t>
      </w:r>
      <w:r>
        <w:rPr>
          <w:rFonts w:hint="default" w:ascii="Times New Roman" w:hAnsi="Times New Roman" w:eastAsia="仿宋_GB2312" w:cs="Times New Roman"/>
          <w:color w:val="auto"/>
          <w:spacing w:val="0"/>
          <w:kern w:val="0"/>
          <w:sz w:val="32"/>
          <w:szCs w:val="32"/>
          <w:u w:val="none"/>
          <w:lang w:val="en-US" w:eastAsia="zh-CN"/>
        </w:rPr>
        <w:t>67</w:t>
      </w:r>
      <w:r>
        <w:rPr>
          <w:rFonts w:hint="default" w:ascii="Times New Roman" w:hAnsi="Times New Roman" w:eastAsia="仿宋_GB2312" w:cs="Times New Roman"/>
          <w:color w:val="auto"/>
          <w:spacing w:val="0"/>
          <w:kern w:val="0"/>
          <w:sz w:val="32"/>
          <w:szCs w:val="32"/>
          <w:u w:val="none"/>
        </w:rPr>
        <w:t>2个工作日。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六、监督检查方式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严格执行原国家安监总局24号令相关要求，各牵头责任科室根据安全监管执法工作计划，结合各行业及企业具体情况，编制现场检查方案，拟制各行业企业安全检查表，对企业作业现场的安全生产实施监督检查。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实施一般检查采用“双随机”抽查方式（随机选取被检查单位、随机确定监督检查人员），因监督检查人员数量、专业等限制难以实施“双随机”抽查的，应当随机选取被检查单位；实施重点检查的，应当结合实际情况随机确定监督检查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对企业存在的安全生产违法行为或者事故隐患，依法采取处置措施，责令当场整改或者限时整改，必要时依法予以安全生产行政处罚。在监督检查中发现企业存在的安全问题涉及有关地方人民政府或其他有关部门的，应当及时向有关地方人民政府或其他有关部门通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color w:val="000000"/>
          <w:spacing w:val="0"/>
          <w:kern w:val="0"/>
          <w:sz w:val="32"/>
          <w:szCs w:val="32"/>
          <w:u w:val="none"/>
        </w:rPr>
      </w:pPr>
      <w:r>
        <w:rPr>
          <w:rFonts w:hint="default" w:ascii="Times New Roman" w:hAnsi="Times New Roman" w:eastAsia="黑体" w:cs="Times New Roman"/>
          <w:b w:val="0"/>
          <w:bCs/>
          <w:color w:val="000000"/>
          <w:spacing w:val="0"/>
          <w:kern w:val="0"/>
          <w:sz w:val="32"/>
          <w:szCs w:val="32"/>
          <w:u w:val="none"/>
        </w:rPr>
        <w:t>七、执法工作要求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1、严格执法。</w:t>
      </w:r>
      <w:r>
        <w:rPr>
          <w:rFonts w:hint="default" w:ascii="Times New Roman" w:hAnsi="Times New Roman" w:eastAsia="仿宋_GB2312" w:cs="Times New Roman"/>
          <w:color w:val="000000"/>
          <w:spacing w:val="0"/>
          <w:kern w:val="0"/>
          <w:sz w:val="32"/>
          <w:szCs w:val="32"/>
          <w:u w:val="none"/>
        </w:rPr>
        <w:t>对安全生产行政执法检查中发现的违法行为，能够当场予以纠正或限期改正，要严肃责令予以改正；对依法应当给予行政处罚的行为，严格按照安全生产法律法规的规定予以行政处罚；对高危行业要开展全覆盖的监督执法；对屡次违法、拒不执行安全监察指令、不服从安全监管的，要坚决运用经济、行政、法律等行之有效的手段，从严、从快、从重予以坚决打击和严厉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2、规范执法程序，提高执法能力。</w:t>
      </w:r>
      <w:r>
        <w:rPr>
          <w:rFonts w:hint="default" w:ascii="Times New Roman" w:hAnsi="Times New Roman" w:eastAsia="仿宋_GB2312" w:cs="Times New Roman"/>
          <w:color w:val="000000"/>
          <w:spacing w:val="0"/>
          <w:kern w:val="0"/>
          <w:sz w:val="32"/>
          <w:szCs w:val="32"/>
          <w:u w:val="none"/>
        </w:rPr>
        <w:t>严格执行原国家安全监管总局《安全生产执法程序规定》（安监总政法〔2016〕72号），强化对执法行为的监督，督促执法人员严格按照法定权限和程序行使职权、履行职责。执法检查应出示有效的行政执法证件，使用规范的执法用语，按要求召开启动会、开展执法检查、召开总结会。执法人员应保持仪容仪表干净整洁，符合现场安全检查和管理要求，不佩戴夸张饰物，不化浓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3、加强监督，落实“三项制度”。</w:t>
      </w:r>
      <w:r>
        <w:rPr>
          <w:rFonts w:hint="default" w:ascii="Times New Roman" w:hAnsi="Times New Roman" w:eastAsia="仿宋_GB2312" w:cs="Times New Roman"/>
          <w:color w:val="000000"/>
          <w:spacing w:val="0"/>
          <w:kern w:val="0"/>
          <w:sz w:val="32"/>
          <w:szCs w:val="32"/>
          <w:u w:val="none"/>
        </w:rPr>
        <w:t>进一步细化岗位责任，完善行政执法责任追究制度，加大事故查处的监督检查、监管力度，执法人员在执法过程中有违法或不当安全生产行政执法行为的，要依法处理。对安全生产行政执法的源头、过程、结果等关键环节，全面落实行政执法公示、行政执法全过程记录和重大行政执法决定法制审核制度，实现行政执法信息及时准确公示、行政执法全过程留痕和可回溯管理、重大行政执法决定法制审核全覆盖，着力推进行政执法透明、规范、合法、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楷体_GB2312" w:cs="Times New Roman"/>
          <w:color w:val="000000"/>
          <w:spacing w:val="0"/>
          <w:kern w:val="0"/>
          <w:sz w:val="32"/>
          <w:szCs w:val="32"/>
          <w:u w:val="none"/>
        </w:rPr>
        <w:t>4、加强信息化建设，提升执法效能。</w:t>
      </w:r>
      <w:r>
        <w:rPr>
          <w:rFonts w:hint="default" w:ascii="Times New Roman" w:hAnsi="Times New Roman" w:eastAsia="仿宋_GB2312" w:cs="Times New Roman"/>
          <w:color w:val="000000"/>
          <w:spacing w:val="0"/>
          <w:kern w:val="0"/>
          <w:sz w:val="32"/>
          <w:szCs w:val="32"/>
          <w:u w:val="none"/>
        </w:rPr>
        <w:t>全面部署使用江苏省安全生产行政执法管理系统，统一执法装备、统一执法流程、统一执法文书、统一自由裁量、统一电子卷宗；规范调查取证行为、规范执法文书制作、规范自由裁量权使用、规范执法档案管理；提升对执法数据的分析研判能力、提升执法精准性、提升执法办案质量、提升执法效能和水平。</w:t>
      </w:r>
    </w:p>
    <w:p>
      <w:pPr>
        <w:widowControl/>
        <w:tabs>
          <w:tab w:val="left" w:pos="7496"/>
          <w:tab w:val="left" w:pos="8812"/>
          <w:tab w:val="left" w:pos="10028"/>
          <w:tab w:val="left" w:pos="12684"/>
          <w:tab w:val="left" w:pos="14740"/>
        </w:tabs>
        <w:jc w:val="left"/>
        <w:rPr>
          <w:rFonts w:hint="default" w:ascii="Times New Roman" w:hAnsi="Times New Roman" w:cs="Times New Roman"/>
          <w:color w:val="000000"/>
          <w:kern w:val="0"/>
          <w:sz w:val="22"/>
          <w:u w:val="none"/>
        </w:rPr>
      </w:pPr>
      <w:bookmarkStart w:id="0" w:name="_Hlk535486902"/>
      <w:r>
        <w:rPr>
          <w:rFonts w:hint="default" w:ascii="Times New Roman" w:hAnsi="Times New Roman" w:eastAsia="黑体" w:cs="Times New Roman"/>
          <w:kern w:val="0"/>
          <w:sz w:val="32"/>
          <w:szCs w:val="32"/>
          <w:u w:val="none"/>
        </w:rPr>
        <w:tab/>
      </w:r>
      <w:r>
        <w:rPr>
          <w:rFonts w:hint="default" w:ascii="Times New Roman" w:hAnsi="Times New Roman" w:cs="Times New Roman"/>
          <w:color w:val="000000"/>
          <w:kern w:val="0"/>
          <w:sz w:val="22"/>
          <w:u w:val="none"/>
        </w:rPr>
        <w:tab/>
      </w:r>
      <w:r>
        <w:rPr>
          <w:rFonts w:hint="default" w:ascii="Times New Roman" w:hAnsi="Times New Roman" w:cs="Times New Roman"/>
          <w:color w:val="000000"/>
          <w:kern w:val="0"/>
          <w:sz w:val="22"/>
          <w:u w:val="none"/>
        </w:rPr>
        <w:tab/>
      </w:r>
      <w:r>
        <w:rPr>
          <w:rFonts w:hint="default" w:ascii="Times New Roman" w:hAnsi="Times New Roman" w:cs="Times New Roman"/>
          <w:color w:val="000000"/>
          <w:kern w:val="0"/>
          <w:sz w:val="22"/>
          <w:u w:val="none"/>
        </w:rPr>
        <w:tab/>
      </w:r>
      <w:r>
        <w:rPr>
          <w:rFonts w:hint="default" w:ascii="Times New Roman" w:hAnsi="Times New Roman" w:cs="Times New Roman"/>
          <w:color w:val="000000"/>
          <w:kern w:val="0"/>
          <w:sz w:val="22"/>
          <w:u w:val="none"/>
        </w:rPr>
        <w:tab/>
      </w:r>
    </w:p>
    <w:p>
      <w:pPr>
        <w:widowControl/>
        <w:jc w:val="center"/>
        <w:rPr>
          <w:rFonts w:hint="default" w:ascii="Times New Roman" w:hAnsi="Times New Roman" w:cs="Times New Roman"/>
          <w:b/>
          <w:bCs/>
          <w:kern w:val="0"/>
          <w:sz w:val="40"/>
          <w:szCs w:val="40"/>
          <w:u w:val="none"/>
        </w:rPr>
        <w:sectPr>
          <w:headerReference r:id="rId3" w:type="default"/>
          <w:footerReference r:id="rId5" w:type="default"/>
          <w:headerReference r:id="rId4" w:type="even"/>
          <w:pgSz w:w="11906" w:h="16838"/>
          <w:pgMar w:top="2098" w:right="1587" w:bottom="1701" w:left="1587" w:header="1304" w:footer="1304" w:gutter="0"/>
          <w:pgNumType w:fmt="decimal"/>
          <w:cols w:space="720" w:num="1"/>
          <w:rtlGutter w:val="0"/>
          <w:docGrid w:linePitch="312" w:charSpace="0"/>
        </w:sectPr>
      </w:pPr>
    </w:p>
    <w:bookmarkEnd w:id="0"/>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kern w:val="0"/>
          <w:sz w:val="44"/>
          <w:szCs w:val="44"/>
          <w:u w:val="none"/>
        </w:rPr>
      </w:pPr>
      <w:r>
        <w:rPr>
          <w:rFonts w:hint="eastAsia" w:ascii="方正小标宋简体" w:hAnsi="方正小标宋简体" w:eastAsia="方正小标宋简体" w:cs="方正小标宋简体"/>
          <w:b w:val="0"/>
          <w:bCs w:val="0"/>
          <w:kern w:val="0"/>
          <w:sz w:val="44"/>
          <w:szCs w:val="44"/>
          <w:u w:val="none"/>
        </w:rPr>
        <w:t>灌南县重点检查单位名单和时间安排</w:t>
      </w:r>
    </w:p>
    <w:p>
      <w:pPr>
        <w:widowControl/>
        <w:tabs>
          <w:tab w:val="left" w:pos="920"/>
          <w:tab w:val="left" w:pos="2110"/>
          <w:tab w:val="left" w:pos="7057"/>
          <w:tab w:val="left" w:pos="8923"/>
          <w:tab w:val="left" w:pos="10657"/>
          <w:tab w:val="left" w:pos="12258"/>
          <w:tab w:val="left" w:pos="13860"/>
        </w:tabs>
        <w:jc w:val="left"/>
        <w:rPr>
          <w:rFonts w:hint="default" w:ascii="Times New Roman" w:hAnsi="Times New Roman" w:eastAsia="仿宋_GB2312" w:cs="Times New Roman"/>
          <w:color w:val="000000"/>
          <w:kern w:val="0"/>
          <w:sz w:val="22"/>
          <w:u w:val="none"/>
        </w:rPr>
      </w:pP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r>
        <w:rPr>
          <w:rFonts w:hint="default" w:ascii="Times New Roman" w:hAnsi="Times New Roman" w:eastAsia="仿宋_GB2312" w:cs="Times New Roman"/>
          <w:b/>
          <w:bCs/>
          <w:kern w:val="0"/>
          <w:sz w:val="40"/>
          <w:szCs w:val="40"/>
          <w:u w:val="none"/>
        </w:rPr>
        <w:t>　</w:t>
      </w:r>
      <w:r>
        <w:rPr>
          <w:rFonts w:hint="default" w:ascii="Times New Roman" w:hAnsi="Times New Roman" w:eastAsia="仿宋_GB2312" w:cs="Times New Roman"/>
          <w:b/>
          <w:bCs/>
          <w:kern w:val="0"/>
          <w:sz w:val="40"/>
          <w:szCs w:val="40"/>
          <w:u w:val="none"/>
        </w:rPr>
        <w:tab/>
      </w:r>
    </w:p>
    <w:tbl>
      <w:tblPr>
        <w:tblStyle w:val="4"/>
        <w:tblW w:w="14575" w:type="dxa"/>
        <w:tblInd w:w="0" w:type="dxa"/>
        <w:shd w:val="clear" w:color="auto" w:fill="auto"/>
        <w:tblLayout w:type="fixed"/>
        <w:tblCellMar>
          <w:top w:w="0" w:type="dxa"/>
          <w:left w:w="0" w:type="dxa"/>
          <w:bottom w:w="0" w:type="dxa"/>
          <w:right w:w="0" w:type="dxa"/>
        </w:tblCellMar>
      </w:tblPr>
      <w:tblGrid>
        <w:gridCol w:w="620"/>
        <w:gridCol w:w="1149"/>
        <w:gridCol w:w="3836"/>
        <w:gridCol w:w="2175"/>
        <w:gridCol w:w="1560"/>
        <w:gridCol w:w="1995"/>
        <w:gridCol w:w="2565"/>
        <w:gridCol w:w="675"/>
      </w:tblGrid>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时间</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检查对象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所在地区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所属行业</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检查方式</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承担科室</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备注 </w:t>
            </w: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一月</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二月</w:t>
            </w:r>
          </w:p>
        </w:tc>
        <w:tc>
          <w:tcPr>
            <w:tcW w:w="383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灌南县烟花爆竹批发企业、烟花爆竹零售点</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执法监管大队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张店镇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北陈集镇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百禄镇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李集镇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孟兴庄镇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新集镇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田楼镇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堆沟港镇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三口镇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现场检查</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江苏利伟智能制造有限公司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机械</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连云港奥申特玩具有限公司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连云港鼎拓精密电子有限公司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机械</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江苏华尔化工有限公司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江苏亚邦染料股份有限公司连云港分公司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连云港市亚晖医药化工有限公司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连云港市国盛化工有限公司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连云港忠友木业有限公司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灌南银得隆木业有限公司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连云港兴鑫钢铁有限公司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临港产业园区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冶金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连云港亚新钢铁有限公司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临港产业园区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冶金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连云港市三联化工有限公司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江苏恒隆作物保护有限公司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连云港海迪化工有限公司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江苏仁欣化工股份有限公司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连云港埃森化学有限公司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连云港伟伟木业有限公司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连云港保丽森实业有限公司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五月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连云港佳福纺织有限公司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百禄镇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江苏汤府酒业有限公司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连云港泽鑫食品配料有限公司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连云港立本作物科技有限公司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江苏永凯化学有限公司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江苏晋光化工科技有限公司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连云港高优化学有限公司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江苏香如生物科技股份有限公司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现代农业园区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江苏丽泽生物科技有限公司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现代农业园区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1149"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六月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连云港灌江线材科技有限公司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田楼镇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冶金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灌南县坤阳建材有限公司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建材</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灌南迪驰建材有限公司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张店镇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建材</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江苏仁欣化工股份有限公司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连云港埃森化学有限公司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连云港市金囤农化有限公司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连云港市三联化工有限公司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江苏恒隆作物保护有限公司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114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连云港海迪化工有限公司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七月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连云港伟林木业有限公司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李集镇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灌南县禾林木业有限公司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李集镇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江苏迪安化工有限公司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江苏中能化学科技股份有限公司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江苏地浦科技股份有限公司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连云港恒飞制药有限公司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连云港纽泰科化工有限公司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八月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江苏益达管件股份有限公司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机械</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江苏源友塑业有限公司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政铨新材料科技（连云港）有限公司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建材</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江苏晋光化工科技有限公司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连云港高优化学有限公司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连云港立本作物科技有限公司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江苏永凯化学有限公司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连云港群英联创管业有限公司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田楼镇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九月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汤沟两相和酒业有限公司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汤沟曲酒厂</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连云港恒飞制药有限公司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连云港纽泰科化工有限公司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江苏迪安化工有限公司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江苏中能化学科技股份有限公司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江苏海中洲船业有限公司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临港产业园区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十月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江苏亿洲再生资源科技有限公司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冶金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71</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连云港荣鼎金属有限公司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经济开发区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有色</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72</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连云港市亚晖医药化工有限公司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连云港市国盛化工有限公司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危化科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74</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江苏华尔化工有限公司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江苏亚邦染料股份有限公司连云港分公司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江苏中能化学科技股份有限公司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十一月</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江苏地浦科技股份有限公司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78</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连云港市金囤农化有限公司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eastAsia" w:ascii="黑体" w:hAnsi="黑体" w:eastAsia="黑体" w:cs="黑体"/>
          <w:bCs/>
          <w:sz w:val="32"/>
          <w:szCs w:val="32"/>
          <w:u w:val="none"/>
        </w:rPr>
      </w:pPr>
    </w:p>
    <w:p>
      <w:pPr>
        <w:rPr>
          <w:rFonts w:hint="eastAsia" w:ascii="黑体" w:hAnsi="黑体" w:eastAsia="黑体" w:cs="黑体"/>
          <w:bCs/>
          <w:sz w:val="32"/>
          <w:szCs w:val="32"/>
          <w:u w:val="none"/>
        </w:rPr>
      </w:pPr>
    </w:p>
    <w:p>
      <w:pPr>
        <w:rPr>
          <w:rFonts w:hint="eastAsia" w:ascii="黑体" w:hAnsi="黑体" w:eastAsia="黑体" w:cs="黑体"/>
          <w:bCs/>
          <w:sz w:val="32"/>
          <w:szCs w:val="32"/>
          <w:u w:val="none"/>
        </w:rPr>
      </w:pPr>
    </w:p>
    <w:p>
      <w:pPr>
        <w:rPr>
          <w:rFonts w:hint="eastAsia" w:ascii="黑体" w:hAnsi="黑体" w:eastAsia="黑体" w:cs="黑体"/>
          <w:bCs/>
          <w:sz w:val="32"/>
          <w:szCs w:val="32"/>
          <w:u w:val="none"/>
        </w:rPr>
      </w:pPr>
    </w:p>
    <w:p>
      <w:pPr>
        <w:rPr>
          <w:rFonts w:hint="eastAsia" w:ascii="黑体" w:hAnsi="黑体" w:eastAsia="黑体" w:cs="黑体"/>
          <w:bCs/>
          <w:sz w:val="32"/>
          <w:szCs w:val="32"/>
          <w:u w:val="none"/>
        </w:rPr>
      </w:pPr>
    </w:p>
    <w:p>
      <w:pPr>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lang w:val="en-US" w:eastAsia="zh-CN"/>
        </w:rPr>
        <w:t xml:space="preserve"> </w:t>
      </w:r>
    </w:p>
    <w:p>
      <w:pPr>
        <w:rPr>
          <w:rFonts w:hint="eastAsia" w:ascii="黑体" w:hAnsi="黑体" w:eastAsia="黑体" w:cs="黑体"/>
          <w:bCs/>
          <w:sz w:val="32"/>
          <w:szCs w:val="32"/>
          <w:u w:val="none"/>
        </w:rPr>
      </w:pPr>
    </w:p>
    <w:p>
      <w:pPr>
        <w:rPr>
          <w:rFonts w:hint="eastAsia" w:ascii="黑体" w:hAnsi="黑体" w:eastAsia="黑体" w:cs="黑体"/>
          <w:bCs/>
          <w:sz w:val="32"/>
          <w:szCs w:val="32"/>
          <w:u w:val="none"/>
        </w:rPr>
      </w:pPr>
      <w:r>
        <w:rPr>
          <w:rFonts w:hint="eastAsia" w:ascii="黑体" w:hAnsi="黑体" w:eastAsia="黑体" w:cs="黑体"/>
          <w:bCs/>
          <w:sz w:val="32"/>
          <w:szCs w:val="32"/>
          <w:u w:val="none"/>
        </w:rPr>
        <w:t>附件2</w:t>
      </w:r>
    </w:p>
    <w:p>
      <w:pPr>
        <w:jc w:val="center"/>
        <w:rPr>
          <w:rFonts w:hint="eastAsia"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灌南县一般检查单位名单和时间安排</w:t>
      </w:r>
    </w:p>
    <w:tbl>
      <w:tblPr>
        <w:tblStyle w:val="4"/>
        <w:tblW w:w="14670" w:type="dxa"/>
        <w:tblInd w:w="0" w:type="dxa"/>
        <w:shd w:val="clear" w:color="auto" w:fill="auto"/>
        <w:tblLayout w:type="fixed"/>
        <w:tblCellMar>
          <w:top w:w="0" w:type="dxa"/>
          <w:left w:w="0" w:type="dxa"/>
          <w:bottom w:w="0" w:type="dxa"/>
          <w:right w:w="0" w:type="dxa"/>
        </w:tblCellMar>
      </w:tblPr>
      <w:tblGrid>
        <w:gridCol w:w="1080"/>
        <w:gridCol w:w="1035"/>
        <w:gridCol w:w="3835"/>
        <w:gridCol w:w="2295"/>
        <w:gridCol w:w="1650"/>
        <w:gridCol w:w="1865"/>
        <w:gridCol w:w="1815"/>
        <w:gridCol w:w="1095"/>
      </w:tblGrid>
      <w:tr>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时间</w:t>
            </w:r>
          </w:p>
        </w:tc>
        <w:tc>
          <w:tcPr>
            <w:tcW w:w="3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检查对象</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所在地区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所属行业</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检查方式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承担科室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备注 </w:t>
            </w: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0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连云港市赛科废料处置有限公司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灌南县宏达新型墙体材料有限公司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新安镇袁闸村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建材</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灌南县汤沟镇金汤酒业有限公司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汤沟镇支沟村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白酒制造</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03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连云港华福木业有限公司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木材企业</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连云港创美木业有限公司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木材企业</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灌南县伟涛服饰有限公司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新集镇新集社区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灌南县源鑫新型建材有限公司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堆沟化工园区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建材</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灌南县一品汤酒业有限公司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汤沟镇沟东村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白酒制造</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五月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连云港健坤木业有限公司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木材企业</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灌南扬扬木业有限公司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田楼镇长茂村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海星围巾织造有限公司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孟兴庄镇返乡创业园</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连云港耀辉服饰有限公司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0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六月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连云港库恩服饰有限公司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好帮手防腐设备有限公司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堆沟港镇小港村六组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江苏福邦药业有限公司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新安镇镇郊社区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医药类</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江苏康进新能源科技有限公司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张湾村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秸秆加工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10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七月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连云港市金隆机械制造有限公司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李集镇</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连云港忠亭家用纺织品有限公司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连云港奥申特玩具有限公司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江苏顺丽城建筑新材料有限公司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孟兴庄镇返乡创业园</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103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八月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连云港师达工艺品有限公司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百禄工业集中区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连云港市群英联创管业有限公司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田楼镇</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工贸</w:t>
            </w:r>
          </w:p>
        </w:tc>
        <w:tc>
          <w:tcPr>
            <w:tcW w:w="1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应急救援台账抽查</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救援协调和预案管理科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连云港光鼎电子有限公司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103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连云港淞丰包装材料有限公司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堆沟港镇刘庄村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贸易</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九月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连云港兄弟金属制品有限公司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新集工业园区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广范企业发展（连云港）有限公司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十月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连云港旺顺五金工具制造有限公司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北陈集镇扶贫产业园</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连云港亿鹏五金工具有限公司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北陈集镇扶贫产业园</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轻工</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十一月</w:t>
            </w: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连云港巨义五金制造有限公司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新集镇陡湾村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执法监督大队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连云港三友制衣有限公司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纺织</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现场及台账</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消防科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keepNext w:val="0"/>
        <w:keepLines w:val="0"/>
        <w:pageBreakBefore w:val="0"/>
        <w:widowControl w:val="0"/>
        <w:tabs>
          <w:tab w:val="left" w:pos="8000"/>
        </w:tabs>
        <w:kinsoku/>
        <w:wordWrap/>
        <w:overflowPunct/>
        <w:topLinePunct w:val="0"/>
        <w:autoSpaceDE/>
        <w:autoSpaceDN/>
        <w:bidi w:val="0"/>
        <w:adjustRightInd/>
        <w:snapToGrid/>
        <w:spacing w:line="14" w:lineRule="exact"/>
        <w:ind w:right="0" w:rightChars="0" w:firstLine="0" w:firstLineChars="0"/>
        <w:jc w:val="left"/>
        <w:textAlignment w:val="auto"/>
        <w:rPr>
          <w:rFonts w:hint="default" w:ascii="宋体" w:hAnsi="宋体" w:eastAsia="宋体" w:cs="宋体"/>
          <w:sz w:val="24"/>
          <w:szCs w:val="24"/>
          <w:u w:val="none"/>
          <w:lang w:val="en-US" w:eastAsia="zh-CN"/>
        </w:rPr>
        <w:sectPr>
          <w:footerReference r:id="rId6" w:type="default"/>
          <w:pgSz w:w="16838" w:h="11906" w:orient="landscape"/>
          <w:pgMar w:top="1134" w:right="1134" w:bottom="1134" w:left="1134" w:header="1304" w:footer="1304" w:gutter="0"/>
          <w:pgBorders w:offsetFrom="page">
            <w:top w:val="none" w:sz="0" w:space="0"/>
            <w:left w:val="none" w:sz="0" w:space="0"/>
            <w:bottom w:val="none" w:sz="0" w:space="0"/>
            <w:right w:val="none" w:sz="0" w:space="0"/>
          </w:pgBorders>
          <w:pgNumType w:fmt="decimal"/>
          <w:cols w:space="0" w:num="1"/>
          <w:rtlGutter w:val="0"/>
          <w:docGrid w:type="lines" w:linePitch="458" w:charSpace="0"/>
        </w:sectPr>
      </w:pPr>
    </w:p>
    <w:p>
      <w:pPr>
        <w:tabs>
          <w:tab w:val="left" w:pos="1887"/>
        </w:tabs>
        <w:bidi w:val="0"/>
        <w:jc w:val="left"/>
        <w:rPr>
          <w:rFonts w:hint="default"/>
          <w:lang w:val="en-US" w:eastAsia="zh-CN"/>
        </w:rPr>
      </w:pPr>
    </w:p>
    <w:p>
      <w:bookmarkStart w:id="1" w:name="_GoBack"/>
      <w:bookmarkEnd w:id="1"/>
    </w:p>
    <w:sectPr>
      <w:pgSz w:w="11906" w:h="16838"/>
      <w:pgMar w:top="2098" w:right="1587" w:bottom="1701" w:left="1587" w:header="1304" w:footer="1304" w:gutter="0"/>
      <w:pgBorders w:offsetFrom="page">
        <w:top w:val="none" w:sz="0" w:space="0"/>
        <w:left w:val="none" w:sz="0" w:space="0"/>
        <w:bottom w:val="none" w:sz="0" w:space="0"/>
        <w:right w:val="none" w:sz="0" w:space="0"/>
      </w:pgBorders>
      <w:pgNumType w:fmt="decimal"/>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w w:val="90"/>
                              <w:sz w:val="28"/>
                              <w:szCs w:val="28"/>
                              <w:u w:val="none"/>
                              <w:lang w:eastAsia="zh-CN"/>
                            </w:rPr>
                            <w:t>—</w:t>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sz w:val="28"/>
                              <w:szCs w:val="28"/>
                              <w:u w:val="none"/>
                              <w:lang w:eastAsia="zh-CN"/>
                            </w:rPr>
                            <w:fldChar w:fldCharType="begin"/>
                          </w:r>
                          <w:r>
                            <w:rPr>
                              <w:rFonts w:hint="eastAsia" w:asciiTheme="majorEastAsia" w:hAnsiTheme="majorEastAsia" w:eastAsiaTheme="majorEastAsia" w:cstheme="majorEastAsia"/>
                              <w:sz w:val="28"/>
                              <w:szCs w:val="28"/>
                              <w:u w:val="none"/>
                              <w:lang w:eastAsia="zh-CN"/>
                            </w:rPr>
                            <w:instrText xml:space="preserve"> PAGE  \* MERGEFORMAT </w:instrText>
                          </w:r>
                          <w:r>
                            <w:rPr>
                              <w:rFonts w:hint="eastAsia" w:asciiTheme="majorEastAsia" w:hAnsiTheme="majorEastAsia" w:eastAsiaTheme="majorEastAsia" w:cstheme="majorEastAsia"/>
                              <w:sz w:val="28"/>
                              <w:szCs w:val="28"/>
                              <w:u w:val="none"/>
                              <w:lang w:eastAsia="zh-CN"/>
                            </w:rPr>
                            <w:fldChar w:fldCharType="separate"/>
                          </w: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eastAsia="zh-CN"/>
                            </w:rPr>
                            <w:fldChar w:fldCharType="end"/>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w w:val="90"/>
                              <w:sz w:val="28"/>
                              <w:szCs w:val="28"/>
                              <w:u w:val="none"/>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w w:val="90"/>
                        <w:sz w:val="28"/>
                        <w:szCs w:val="28"/>
                        <w:u w:val="none"/>
                        <w:lang w:eastAsia="zh-CN"/>
                      </w:rPr>
                      <w:t>—</w:t>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sz w:val="28"/>
                        <w:szCs w:val="28"/>
                        <w:u w:val="none"/>
                        <w:lang w:eastAsia="zh-CN"/>
                      </w:rPr>
                      <w:fldChar w:fldCharType="begin"/>
                    </w:r>
                    <w:r>
                      <w:rPr>
                        <w:rFonts w:hint="eastAsia" w:asciiTheme="majorEastAsia" w:hAnsiTheme="majorEastAsia" w:eastAsiaTheme="majorEastAsia" w:cstheme="majorEastAsia"/>
                        <w:sz w:val="28"/>
                        <w:szCs w:val="28"/>
                        <w:u w:val="none"/>
                        <w:lang w:eastAsia="zh-CN"/>
                      </w:rPr>
                      <w:instrText xml:space="preserve"> PAGE  \* MERGEFORMAT </w:instrText>
                    </w:r>
                    <w:r>
                      <w:rPr>
                        <w:rFonts w:hint="eastAsia" w:asciiTheme="majorEastAsia" w:hAnsiTheme="majorEastAsia" w:eastAsiaTheme="majorEastAsia" w:cstheme="majorEastAsia"/>
                        <w:sz w:val="28"/>
                        <w:szCs w:val="28"/>
                        <w:u w:val="none"/>
                        <w:lang w:eastAsia="zh-CN"/>
                      </w:rPr>
                      <w:fldChar w:fldCharType="separate"/>
                    </w: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eastAsia="zh-CN"/>
                      </w:rPr>
                      <w:fldChar w:fldCharType="end"/>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w w:val="90"/>
                        <w:sz w:val="28"/>
                        <w:szCs w:val="28"/>
                        <w:u w:val="none"/>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w w:val="90"/>
                              <w:sz w:val="28"/>
                              <w:szCs w:val="28"/>
                              <w:u w:val="none"/>
                              <w:lang w:eastAsia="zh-CN"/>
                            </w:rPr>
                            <w:t>—</w:t>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sz w:val="28"/>
                              <w:szCs w:val="28"/>
                              <w:u w:val="none"/>
                              <w:lang w:eastAsia="zh-CN"/>
                            </w:rPr>
                            <w:fldChar w:fldCharType="begin"/>
                          </w:r>
                          <w:r>
                            <w:rPr>
                              <w:rFonts w:hint="eastAsia" w:asciiTheme="majorEastAsia" w:hAnsiTheme="majorEastAsia" w:eastAsiaTheme="majorEastAsia" w:cstheme="majorEastAsia"/>
                              <w:sz w:val="28"/>
                              <w:szCs w:val="28"/>
                              <w:u w:val="none"/>
                              <w:lang w:eastAsia="zh-CN"/>
                            </w:rPr>
                            <w:instrText xml:space="preserve"> PAGE  \* MERGEFORMAT </w:instrText>
                          </w:r>
                          <w:r>
                            <w:rPr>
                              <w:rFonts w:hint="eastAsia" w:asciiTheme="majorEastAsia" w:hAnsiTheme="majorEastAsia" w:eastAsiaTheme="majorEastAsia" w:cstheme="majorEastAsia"/>
                              <w:sz w:val="28"/>
                              <w:szCs w:val="28"/>
                              <w:u w:val="none"/>
                              <w:lang w:eastAsia="zh-CN"/>
                            </w:rPr>
                            <w:fldChar w:fldCharType="separate"/>
                          </w: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eastAsia="zh-CN"/>
                            </w:rPr>
                            <w:fldChar w:fldCharType="end"/>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w w:val="90"/>
                              <w:sz w:val="28"/>
                              <w:szCs w:val="28"/>
                              <w:u w:val="none"/>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w w:val="90"/>
                        <w:sz w:val="28"/>
                        <w:szCs w:val="28"/>
                        <w:u w:val="none"/>
                        <w:lang w:eastAsia="zh-CN"/>
                      </w:rPr>
                      <w:t>—</w:t>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sz w:val="28"/>
                        <w:szCs w:val="28"/>
                        <w:u w:val="none"/>
                        <w:lang w:eastAsia="zh-CN"/>
                      </w:rPr>
                      <w:fldChar w:fldCharType="begin"/>
                    </w:r>
                    <w:r>
                      <w:rPr>
                        <w:rFonts w:hint="eastAsia" w:asciiTheme="majorEastAsia" w:hAnsiTheme="majorEastAsia" w:eastAsiaTheme="majorEastAsia" w:cstheme="majorEastAsia"/>
                        <w:sz w:val="28"/>
                        <w:szCs w:val="28"/>
                        <w:u w:val="none"/>
                        <w:lang w:eastAsia="zh-CN"/>
                      </w:rPr>
                      <w:instrText xml:space="preserve"> PAGE  \* MERGEFORMAT </w:instrText>
                    </w:r>
                    <w:r>
                      <w:rPr>
                        <w:rFonts w:hint="eastAsia" w:asciiTheme="majorEastAsia" w:hAnsiTheme="majorEastAsia" w:eastAsiaTheme="majorEastAsia" w:cstheme="majorEastAsia"/>
                        <w:sz w:val="28"/>
                        <w:szCs w:val="28"/>
                        <w:u w:val="none"/>
                        <w:lang w:eastAsia="zh-CN"/>
                      </w:rPr>
                      <w:fldChar w:fldCharType="separate"/>
                    </w: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eastAsia="zh-CN"/>
                      </w:rPr>
                      <w:fldChar w:fldCharType="end"/>
                    </w:r>
                    <w:r>
                      <w:rPr>
                        <w:rFonts w:hint="eastAsia" w:asciiTheme="majorEastAsia" w:hAnsiTheme="majorEastAsia" w:eastAsiaTheme="majorEastAsia" w:cstheme="majorEastAsia"/>
                        <w:sz w:val="28"/>
                        <w:szCs w:val="28"/>
                        <w:u w:val="none"/>
                        <w:lang w:val="en-US" w:eastAsia="zh-CN"/>
                      </w:rPr>
                      <w:t xml:space="preserve"> </w:t>
                    </w:r>
                    <w:r>
                      <w:rPr>
                        <w:rFonts w:hint="eastAsia" w:asciiTheme="majorEastAsia" w:hAnsiTheme="majorEastAsia" w:eastAsiaTheme="majorEastAsia" w:cstheme="majorEastAsia"/>
                        <w:w w:val="90"/>
                        <w:sz w:val="28"/>
                        <w:szCs w:val="28"/>
                        <w:u w:val="none"/>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8693D"/>
    <w:rsid w:val="6C28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u w:val="single"/>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2021-03-29T02:53:00Z</dcterms:created>
  <dc:creator>韩云峰</dc:creator>
  <cp:lastModifiedBy>韩云峰</cp:lastModifiedBy>
  <dcterms:modified xsi:type="dcterms:W3CDTF">2021-03-29T02:54:38Z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D5DA44C6203F47239C678EB2F31D244C</vt:lpwstr>
  </property>
</Properties>
</file>