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520" w:firstLineChars="800"/>
        <w:jc w:val="both"/>
        <w:textAlignment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kern w:val="0"/>
          <w:sz w:val="44"/>
          <w:szCs w:val="44"/>
          <w:lang w:bidi="ar"/>
        </w:rPr>
        <w:t>灌南县</w:t>
      </w:r>
      <w:r>
        <w:rPr>
          <w:rFonts w:hint="eastAsia" w:ascii="方正小标宋简体" w:hAnsi="方正小标宋简体" w:eastAsia="方正小标宋简体" w:cs="方正小标宋简体"/>
          <w:color w:val="000000"/>
          <w:kern w:val="0"/>
          <w:sz w:val="44"/>
          <w:szCs w:val="44"/>
          <w:lang w:eastAsia="zh-CN" w:bidi="ar"/>
        </w:rPr>
        <w:t>行政审批局</w:t>
      </w:r>
      <w:r>
        <w:rPr>
          <w:rFonts w:hint="eastAsia" w:ascii="方正小标宋简体" w:hAnsi="方正小标宋简体" w:eastAsia="方正小标宋简体" w:cs="方正小标宋简体"/>
          <w:color w:val="000000"/>
          <w:kern w:val="0"/>
          <w:sz w:val="44"/>
          <w:szCs w:val="44"/>
          <w:lang w:bidi="ar"/>
        </w:rPr>
        <w:t>政务公开事项目录表（试行）</w:t>
      </w:r>
    </w:p>
    <w:p>
      <w:pPr>
        <w:widowControl/>
        <w:textAlignment w:val="center"/>
        <w:rPr>
          <w:rFonts w:hint="eastAsia" w:ascii="楷体_GB2312" w:hAnsi="楷体_GB2312" w:eastAsia="楷体_GB2312" w:cs="楷体_GB2312"/>
          <w:color w:val="000000"/>
          <w:sz w:val="24"/>
          <w:lang w:val="en-US" w:eastAsia="zh-CN"/>
        </w:rPr>
      </w:pPr>
      <w:r>
        <w:rPr>
          <w:rFonts w:hint="eastAsia" w:ascii="楷体_GB2312" w:hAnsi="楷体_GB2312" w:eastAsia="楷体_GB2312" w:cs="楷体_GB2312"/>
          <w:color w:val="000000"/>
          <w:kern w:val="0"/>
          <w:sz w:val="24"/>
          <w:lang w:bidi="ar"/>
        </w:rPr>
        <w:t>单位：</w:t>
      </w:r>
      <w:r>
        <w:rPr>
          <w:rFonts w:hint="eastAsia" w:ascii="楷体_GB2312" w:hAnsi="楷体_GB2312" w:eastAsia="楷体_GB2312" w:cs="楷体_GB2312"/>
          <w:color w:val="000000"/>
          <w:kern w:val="0"/>
          <w:sz w:val="24"/>
          <w:lang w:eastAsia="zh-CN" w:bidi="ar"/>
        </w:rPr>
        <w:t>灌南县行政审批局</w:t>
      </w:r>
    </w:p>
    <w:tbl>
      <w:tblPr>
        <w:tblStyle w:val="5"/>
        <w:tblW w:w="14457" w:type="dxa"/>
        <w:jc w:val="center"/>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413"/>
        <w:gridCol w:w="615"/>
        <w:gridCol w:w="570"/>
        <w:gridCol w:w="615"/>
        <w:gridCol w:w="2535"/>
        <w:gridCol w:w="2520"/>
        <w:gridCol w:w="2520"/>
        <w:gridCol w:w="675"/>
        <w:gridCol w:w="705"/>
        <w:gridCol w:w="720"/>
        <w:gridCol w:w="795"/>
        <w:gridCol w:w="525"/>
        <w:gridCol w:w="1249"/>
      </w:tblGrid>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jc w:val="center"/>
        </w:trPr>
        <w:tc>
          <w:tcPr>
            <w:tcW w:w="413"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序号</w:t>
            </w:r>
          </w:p>
        </w:tc>
        <w:tc>
          <w:tcPr>
            <w:tcW w:w="615" w:type="dxa"/>
            <w:vMerge w:val="restart"/>
            <w:noWrap w:val="0"/>
            <w:tcMar>
              <w:top w:w="15" w:type="dxa"/>
              <w:left w:w="15" w:type="dxa"/>
              <w:right w:w="15" w:type="dxa"/>
            </w:tcMar>
            <w:vAlign w:val="center"/>
          </w:tcPr>
          <w:p>
            <w:pPr>
              <w:widowControl/>
              <w:spacing w:line="280" w:lineRule="exact"/>
              <w:jc w:val="center"/>
              <w:rPr>
                <w:rFonts w:eastAsia="黑体"/>
                <w:color w:val="000000"/>
                <w:szCs w:val="21"/>
                <w:highlight w:val="none"/>
              </w:rPr>
            </w:pPr>
            <w:r>
              <w:rPr>
                <w:rFonts w:eastAsia="黑体"/>
                <w:color w:val="000000"/>
                <w:kern w:val="0"/>
                <w:szCs w:val="21"/>
                <w:highlight w:val="none"/>
                <w:lang w:bidi="ar"/>
              </w:rPr>
              <w:t>过程</w:t>
            </w:r>
          </w:p>
        </w:tc>
        <w:tc>
          <w:tcPr>
            <w:tcW w:w="1185" w:type="dxa"/>
            <w:gridSpan w:val="2"/>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公开事项</w:t>
            </w:r>
          </w:p>
        </w:tc>
        <w:tc>
          <w:tcPr>
            <w:tcW w:w="2535"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公开内容</w:t>
            </w:r>
          </w:p>
        </w:tc>
        <w:tc>
          <w:tcPr>
            <w:tcW w:w="2520"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公开依据</w:t>
            </w:r>
          </w:p>
        </w:tc>
        <w:tc>
          <w:tcPr>
            <w:tcW w:w="2520"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公开时限</w:t>
            </w:r>
          </w:p>
        </w:tc>
        <w:tc>
          <w:tcPr>
            <w:tcW w:w="675" w:type="dxa"/>
            <w:vMerge w:val="restart"/>
            <w:noWrap w:val="0"/>
            <w:tcMar>
              <w:top w:w="15" w:type="dxa"/>
              <w:left w:w="15" w:type="dxa"/>
              <w:right w:w="15" w:type="dxa"/>
            </w:tcMar>
            <w:vAlign w:val="center"/>
          </w:tcPr>
          <w:p>
            <w:pPr>
              <w:widowControl/>
              <w:spacing w:line="280" w:lineRule="exact"/>
              <w:jc w:val="center"/>
              <w:textAlignment w:val="center"/>
              <w:rPr>
                <w:rFonts w:eastAsia="黑体"/>
                <w:color w:val="000000"/>
                <w:kern w:val="0"/>
                <w:szCs w:val="21"/>
                <w:highlight w:val="none"/>
                <w:lang w:bidi="ar"/>
              </w:rPr>
            </w:pPr>
            <w:r>
              <w:rPr>
                <w:rFonts w:eastAsia="黑体"/>
                <w:color w:val="000000"/>
                <w:kern w:val="0"/>
                <w:szCs w:val="21"/>
                <w:highlight w:val="none"/>
                <w:lang w:bidi="ar"/>
              </w:rPr>
              <w:t>公开</w:t>
            </w:r>
          </w:p>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主体</w:t>
            </w:r>
          </w:p>
        </w:tc>
        <w:tc>
          <w:tcPr>
            <w:tcW w:w="1425" w:type="dxa"/>
            <w:gridSpan w:val="2"/>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公开方式</w:t>
            </w:r>
          </w:p>
        </w:tc>
        <w:tc>
          <w:tcPr>
            <w:tcW w:w="1320" w:type="dxa"/>
            <w:gridSpan w:val="2"/>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公开对象</w:t>
            </w:r>
          </w:p>
        </w:tc>
        <w:tc>
          <w:tcPr>
            <w:tcW w:w="1249"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黑体"/>
                <w:color w:val="000000"/>
                <w:kern w:val="0"/>
                <w:szCs w:val="21"/>
                <w:highlight w:val="none"/>
                <w:lang w:bidi="ar"/>
              </w:rPr>
              <w:t>公开渠道</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blHeader/>
          <w:jc w:val="center"/>
        </w:trPr>
        <w:tc>
          <w:tcPr>
            <w:tcW w:w="413" w:type="dxa"/>
            <w:vMerge w:val="continue"/>
            <w:noWrap w:val="0"/>
            <w:tcMar>
              <w:top w:w="15" w:type="dxa"/>
              <w:left w:w="15" w:type="dxa"/>
              <w:right w:w="15" w:type="dxa"/>
            </w:tcMar>
            <w:vAlign w:val="center"/>
          </w:tcPr>
          <w:p>
            <w:pPr>
              <w:widowControl/>
              <w:spacing w:line="280" w:lineRule="exact"/>
              <w:jc w:val="center"/>
              <w:rPr>
                <w:rFonts w:eastAsia="黑体"/>
                <w:color w:val="000000"/>
                <w:szCs w:val="21"/>
                <w:highlight w:val="none"/>
              </w:rPr>
            </w:pPr>
          </w:p>
        </w:tc>
        <w:tc>
          <w:tcPr>
            <w:tcW w:w="615" w:type="dxa"/>
            <w:vMerge w:val="continue"/>
            <w:noWrap w:val="0"/>
            <w:tcMar>
              <w:top w:w="15" w:type="dxa"/>
              <w:left w:w="15" w:type="dxa"/>
              <w:right w:w="15" w:type="dxa"/>
            </w:tcMar>
            <w:vAlign w:val="center"/>
          </w:tcPr>
          <w:p>
            <w:pPr>
              <w:widowControl/>
              <w:spacing w:line="280" w:lineRule="exact"/>
              <w:jc w:val="center"/>
              <w:rPr>
                <w:rFonts w:eastAsia="黑体"/>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一级事项</w:t>
            </w:r>
          </w:p>
        </w:tc>
        <w:tc>
          <w:tcPr>
            <w:tcW w:w="615"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二级事项</w:t>
            </w:r>
          </w:p>
        </w:tc>
        <w:tc>
          <w:tcPr>
            <w:tcW w:w="2535" w:type="dxa"/>
            <w:vMerge w:val="continue"/>
            <w:noWrap w:val="0"/>
            <w:tcMar>
              <w:top w:w="15" w:type="dxa"/>
              <w:left w:w="15" w:type="dxa"/>
              <w:right w:w="15" w:type="dxa"/>
            </w:tcMar>
            <w:vAlign w:val="center"/>
          </w:tcPr>
          <w:p>
            <w:pPr>
              <w:widowControl/>
              <w:spacing w:line="280" w:lineRule="exact"/>
              <w:rPr>
                <w:rFonts w:eastAsia="黑体"/>
                <w:color w:val="000000"/>
                <w:szCs w:val="21"/>
                <w:highlight w:val="none"/>
              </w:rPr>
            </w:pPr>
          </w:p>
        </w:tc>
        <w:tc>
          <w:tcPr>
            <w:tcW w:w="2520" w:type="dxa"/>
            <w:vMerge w:val="continue"/>
            <w:noWrap w:val="0"/>
            <w:tcMar>
              <w:top w:w="15" w:type="dxa"/>
              <w:left w:w="15" w:type="dxa"/>
              <w:right w:w="15" w:type="dxa"/>
            </w:tcMar>
            <w:vAlign w:val="center"/>
          </w:tcPr>
          <w:p>
            <w:pPr>
              <w:widowControl/>
              <w:spacing w:line="280" w:lineRule="exact"/>
              <w:rPr>
                <w:rFonts w:eastAsia="黑体"/>
                <w:color w:val="000000"/>
                <w:szCs w:val="21"/>
                <w:highlight w:val="none"/>
              </w:rPr>
            </w:pPr>
          </w:p>
        </w:tc>
        <w:tc>
          <w:tcPr>
            <w:tcW w:w="2520" w:type="dxa"/>
            <w:vMerge w:val="continue"/>
            <w:noWrap w:val="0"/>
            <w:tcMar>
              <w:top w:w="15" w:type="dxa"/>
              <w:left w:w="15" w:type="dxa"/>
              <w:right w:w="15" w:type="dxa"/>
            </w:tcMar>
            <w:vAlign w:val="center"/>
          </w:tcPr>
          <w:p>
            <w:pPr>
              <w:widowControl/>
              <w:spacing w:line="280" w:lineRule="exact"/>
              <w:rPr>
                <w:rFonts w:eastAsia="黑体"/>
                <w:color w:val="000000"/>
                <w:szCs w:val="21"/>
                <w:highlight w:val="none"/>
              </w:rPr>
            </w:pPr>
          </w:p>
        </w:tc>
        <w:tc>
          <w:tcPr>
            <w:tcW w:w="675" w:type="dxa"/>
            <w:vMerge w:val="continue"/>
            <w:noWrap w:val="0"/>
            <w:tcMar>
              <w:top w:w="15" w:type="dxa"/>
              <w:left w:w="15" w:type="dxa"/>
              <w:right w:w="15" w:type="dxa"/>
            </w:tcMar>
            <w:vAlign w:val="center"/>
          </w:tcPr>
          <w:p>
            <w:pPr>
              <w:widowControl/>
              <w:spacing w:line="280" w:lineRule="exact"/>
              <w:jc w:val="center"/>
              <w:rPr>
                <w:rFonts w:eastAsia="黑体"/>
                <w:color w:val="000000"/>
                <w:szCs w:val="21"/>
                <w:highlight w:val="none"/>
              </w:rPr>
            </w:pPr>
          </w:p>
        </w:tc>
        <w:tc>
          <w:tcPr>
            <w:tcW w:w="705" w:type="dxa"/>
            <w:noWrap w:val="0"/>
            <w:tcMar>
              <w:top w:w="15" w:type="dxa"/>
              <w:left w:w="15" w:type="dxa"/>
              <w:right w:w="15" w:type="dxa"/>
            </w:tcMar>
            <w:vAlign w:val="center"/>
          </w:tcPr>
          <w:p>
            <w:pPr>
              <w:widowControl/>
              <w:spacing w:line="280" w:lineRule="exact"/>
              <w:jc w:val="center"/>
              <w:textAlignment w:val="center"/>
              <w:rPr>
                <w:rFonts w:eastAsia="黑体"/>
                <w:color w:val="000000"/>
                <w:kern w:val="0"/>
                <w:szCs w:val="21"/>
                <w:highlight w:val="none"/>
                <w:lang w:bidi="ar"/>
              </w:rPr>
            </w:pPr>
            <w:r>
              <w:rPr>
                <w:rFonts w:eastAsia="黑体"/>
                <w:color w:val="000000"/>
                <w:kern w:val="0"/>
                <w:szCs w:val="21"/>
                <w:highlight w:val="none"/>
                <w:lang w:bidi="ar"/>
              </w:rPr>
              <w:t>主动</w:t>
            </w:r>
          </w:p>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公开</w:t>
            </w:r>
          </w:p>
        </w:tc>
        <w:tc>
          <w:tcPr>
            <w:tcW w:w="720"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依申请</w:t>
            </w:r>
          </w:p>
        </w:tc>
        <w:tc>
          <w:tcPr>
            <w:tcW w:w="795"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全社会</w:t>
            </w:r>
          </w:p>
        </w:tc>
        <w:tc>
          <w:tcPr>
            <w:tcW w:w="525" w:type="dxa"/>
            <w:noWrap w:val="0"/>
            <w:tcMar>
              <w:top w:w="15" w:type="dxa"/>
              <w:left w:w="15" w:type="dxa"/>
              <w:right w:w="15" w:type="dxa"/>
            </w:tcMar>
            <w:vAlign w:val="center"/>
          </w:tcPr>
          <w:p>
            <w:pPr>
              <w:widowControl/>
              <w:spacing w:line="280" w:lineRule="exact"/>
              <w:jc w:val="center"/>
              <w:textAlignment w:val="center"/>
              <w:rPr>
                <w:rFonts w:eastAsia="黑体"/>
                <w:color w:val="000000"/>
                <w:szCs w:val="21"/>
                <w:highlight w:val="none"/>
              </w:rPr>
            </w:pPr>
            <w:r>
              <w:rPr>
                <w:rFonts w:eastAsia="黑体"/>
                <w:color w:val="000000"/>
                <w:kern w:val="0"/>
                <w:szCs w:val="21"/>
                <w:highlight w:val="none"/>
                <w:lang w:bidi="ar"/>
              </w:rPr>
              <w:t>特定群体</w:t>
            </w:r>
          </w:p>
        </w:tc>
        <w:tc>
          <w:tcPr>
            <w:tcW w:w="1249"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1</w:t>
            </w:r>
          </w:p>
        </w:tc>
        <w:tc>
          <w:tcPr>
            <w:tcW w:w="615" w:type="dxa"/>
            <w:vMerge w:val="restart"/>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决策</w:t>
            </w:r>
          </w:p>
        </w:tc>
        <w:tc>
          <w:tcPr>
            <w:tcW w:w="570" w:type="dxa"/>
            <w:vMerge w:val="restart"/>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政府文件</w:t>
            </w:r>
          </w:p>
        </w:tc>
        <w:tc>
          <w:tcPr>
            <w:tcW w:w="615" w:type="dxa"/>
            <w:vMerge w:val="restart"/>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部门文件</w:t>
            </w: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本级</w:t>
            </w:r>
            <w:r>
              <w:rPr>
                <w:rFonts w:hint="eastAsia" w:eastAsia="仿宋_GB2312"/>
                <w:color w:val="000000"/>
                <w:kern w:val="0"/>
                <w:szCs w:val="21"/>
                <w:highlight w:val="none"/>
                <w:lang w:eastAsia="zh-CN" w:bidi="ar"/>
              </w:rPr>
              <w:t>部门</w:t>
            </w:r>
            <w:r>
              <w:rPr>
                <w:rFonts w:eastAsia="仿宋_GB2312"/>
                <w:color w:val="000000"/>
                <w:kern w:val="0"/>
                <w:szCs w:val="21"/>
                <w:highlight w:val="none"/>
                <w:lang w:bidi="ar"/>
              </w:rPr>
              <w:t>制定的文件。</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w:t>
            </w:r>
            <w:r>
              <w:rPr>
                <w:rStyle w:val="7"/>
                <w:rFonts w:ascii="Times New Roman" w:hAnsi="Times New Roman" w:eastAsia="仿宋_GB2312" w:cs="Times New Roman"/>
                <w:sz w:val="21"/>
                <w:szCs w:val="21"/>
                <w:highlight w:val="none"/>
                <w:lang w:bidi="ar"/>
              </w:rPr>
              <w:t>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26" w:hRule="atLeast"/>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2</w:t>
            </w: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公开属性为依申请公开的规范性文件名称、产生时间</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w:t>
            </w:r>
            <w:r>
              <w:rPr>
                <w:rStyle w:val="7"/>
                <w:rFonts w:ascii="Times New Roman" w:hAnsi="Times New Roman" w:eastAsia="仿宋_GB2312" w:cs="Times New Roman"/>
                <w:sz w:val="21"/>
                <w:szCs w:val="21"/>
                <w:highlight w:val="none"/>
                <w:lang w:bidi="ar"/>
              </w:rPr>
              <w:t>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w:t>
            </w:r>
            <w:r>
              <w:rPr>
                <w:rStyle w:val="7"/>
                <w:rFonts w:ascii="Times New Roman" w:hAnsi="Times New Roman" w:eastAsia="仿宋_GB2312" w:cs="Times New Roman"/>
                <w:sz w:val="21"/>
                <w:szCs w:val="21"/>
                <w:highlight w:val="none"/>
                <w:lang w:bidi="ar"/>
              </w:rPr>
              <w:t>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1249"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精准推送</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80" w:hRule="atLeast"/>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3</w:t>
            </w: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规范性文件</w:t>
            </w: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规范性文件的公众参与、专家论证、风险评估、集体讨论等程序开展情况；规范性文件备案信息、规范性文件清理结果、废止类规范性文件目录。</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《重大行政决策程序暂行条例》（国务院令第713号）；</w:t>
            </w:r>
            <w:r>
              <w:rPr>
                <w:rFonts w:eastAsia="仿宋_GB2312"/>
                <w:color w:val="000000"/>
                <w:kern w:val="0"/>
                <w:szCs w:val="21"/>
                <w:highlight w:val="none"/>
                <w:lang w:bidi="ar"/>
              </w:rPr>
              <w:br w:type="textWrapping"/>
            </w:r>
            <w:r>
              <w:rPr>
                <w:rFonts w:eastAsia="仿宋_GB2312"/>
                <w:color w:val="000000"/>
                <w:kern w:val="0"/>
                <w:szCs w:val="21"/>
                <w:highlight w:val="none"/>
                <w:lang w:bidi="ar"/>
              </w:rPr>
              <w:t>《国务院办公厅关于加强行政规范性文件制定和监督管理工作的通知》（国办发〔2018〕37号）；《法规规章备案条例》（国务院令第337号）。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4</w:t>
            </w:r>
          </w:p>
        </w:tc>
        <w:tc>
          <w:tcPr>
            <w:tcW w:w="615" w:type="dxa"/>
            <w:vMerge w:val="continue"/>
            <w:noWrap w:val="0"/>
            <w:tcMar>
              <w:top w:w="15" w:type="dxa"/>
              <w:left w:w="15" w:type="dxa"/>
              <w:right w:w="15" w:type="dxa"/>
            </w:tcMar>
            <w:vAlign w:val="center"/>
          </w:tcPr>
          <w:p>
            <w:pPr>
              <w:widowControl/>
              <w:spacing w:line="30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重大决策</w:t>
            </w:r>
          </w:p>
        </w:tc>
        <w:tc>
          <w:tcPr>
            <w:tcW w:w="615"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意见征集</w:t>
            </w:r>
          </w:p>
        </w:tc>
        <w:tc>
          <w:tcPr>
            <w:tcW w:w="2535"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公开涉及群众切身利益需要社会广泛知晓的重要改革方案、重大政策措施和重点工程项目等，通过听证座谈、网络征集、咨询协商、媒体沟通等多种形式向社会征求意见。</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《重大行政决策程序暂行条例》（国务院令第713</w:t>
            </w:r>
            <w:r>
              <w:rPr>
                <w:rStyle w:val="7"/>
                <w:rFonts w:ascii="Times New Roman" w:hAnsi="Times New Roman" w:eastAsia="仿宋_GB2312" w:cs="Times New Roman"/>
                <w:sz w:val="21"/>
                <w:szCs w:val="21"/>
                <w:highlight w:val="none"/>
                <w:lang w:bidi="ar"/>
              </w:rPr>
              <w:t>号）；</w:t>
            </w:r>
          </w:p>
        </w:tc>
        <w:tc>
          <w:tcPr>
            <w:tcW w:w="2520" w:type="dxa"/>
            <w:noWrap w:val="0"/>
            <w:tcMar>
              <w:top w:w="15" w:type="dxa"/>
              <w:left w:w="15" w:type="dxa"/>
              <w:right w:w="15" w:type="dxa"/>
            </w:tcMar>
            <w:vAlign w:val="center"/>
          </w:tcPr>
          <w:p>
            <w:pPr>
              <w:widowControl/>
              <w:spacing w:line="30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5</w:t>
            </w:r>
          </w:p>
        </w:tc>
        <w:tc>
          <w:tcPr>
            <w:tcW w:w="615" w:type="dxa"/>
            <w:noWrap w:val="0"/>
            <w:tcMar>
              <w:top w:w="15" w:type="dxa"/>
              <w:left w:w="15" w:type="dxa"/>
              <w:right w:w="15" w:type="dxa"/>
            </w:tcMar>
            <w:vAlign w:val="center"/>
          </w:tcPr>
          <w:p>
            <w:pPr>
              <w:widowControl/>
              <w:spacing w:line="300" w:lineRule="exact"/>
              <w:jc w:val="center"/>
              <w:textAlignment w:val="center"/>
              <w:rPr>
                <w:rFonts w:eastAsia="仿宋_GB2312"/>
                <w:color w:val="000000"/>
                <w:szCs w:val="21"/>
                <w:highlight w:val="none"/>
              </w:rPr>
            </w:pPr>
            <w:r>
              <w:rPr>
                <w:rFonts w:eastAsia="仿宋_GB2312"/>
                <w:color w:val="000000"/>
                <w:kern w:val="0"/>
                <w:szCs w:val="21"/>
                <w:highlight w:val="none"/>
                <w:lang w:bidi="ar"/>
              </w:rPr>
              <w:t>决策</w:t>
            </w:r>
          </w:p>
        </w:tc>
        <w:tc>
          <w:tcPr>
            <w:tcW w:w="570"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意见反馈</w:t>
            </w: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公布意见采纳情况及相对集</w:t>
            </w:r>
            <w:r>
              <w:rPr>
                <w:rFonts w:eastAsia="仿宋_GB2312"/>
                <w:color w:val="000000"/>
                <w:spacing w:val="-6"/>
                <w:kern w:val="0"/>
                <w:szCs w:val="21"/>
                <w:highlight w:val="none"/>
                <w:lang w:bidi="ar"/>
              </w:rPr>
              <w:t>中的意见未予采纳的原因。</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6</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规划计划</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本部门中长期发展规划、年度工作计划和工作总结。</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《中华人民共和国政府信息公开条例》（国务院令第492号）；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7</w:t>
            </w:r>
          </w:p>
        </w:tc>
        <w:tc>
          <w:tcPr>
            <w:tcW w:w="615" w:type="dxa"/>
            <w:vMerge w:val="restart"/>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执行和结果</w:t>
            </w: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决策部署落实情况</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重大决策、重要政策、政府工作报告、本部门年度重点工作任务的任务分解、执行和落实情况等信息。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8</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kern w:val="0"/>
                <w:szCs w:val="21"/>
                <w:highlight w:val="none"/>
                <w:lang w:bidi="ar"/>
              </w:rPr>
            </w:pPr>
            <w:r>
              <w:rPr>
                <w:rFonts w:eastAsia="仿宋_GB2312"/>
                <w:color w:val="000000"/>
                <w:kern w:val="0"/>
                <w:szCs w:val="21"/>
                <w:highlight w:val="none"/>
                <w:lang w:bidi="ar"/>
              </w:rPr>
              <w:t>信息公开年报</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发布经主要领导审批后的政府信息公开年度报告</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w:t>
            </w:r>
            <w:r>
              <w:rPr>
                <w:rStyle w:val="7"/>
                <w:rFonts w:ascii="Times New Roman" w:hAnsi="Times New Roman" w:eastAsia="仿宋_GB2312" w:cs="Times New Roman"/>
                <w:sz w:val="21"/>
                <w:szCs w:val="21"/>
                <w:highlight w:val="none"/>
                <w:lang w:bidi="ar"/>
              </w:rPr>
              <w:t>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次年1月31日前公开。</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9</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hint="eastAsia" w:eastAsia="仿宋_GB2312"/>
                <w:color w:val="000000"/>
                <w:kern w:val="0"/>
                <w:szCs w:val="21"/>
                <w:highlight w:val="none"/>
                <w:lang w:eastAsia="zh-CN" w:bidi="ar"/>
              </w:rPr>
            </w:pPr>
            <w:r>
              <w:rPr>
                <w:rFonts w:hint="eastAsia" w:eastAsia="仿宋_GB2312"/>
                <w:color w:val="000000"/>
                <w:kern w:val="0"/>
                <w:szCs w:val="21"/>
                <w:highlight w:val="none"/>
                <w:lang w:eastAsia="zh-CN" w:bidi="ar"/>
              </w:rPr>
              <w:t>部门会议</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召开会议的名称、时间、地点、与会人员、主持人，会议研究的事项等。</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w:t>
            </w:r>
            <w:r>
              <w:rPr>
                <w:rStyle w:val="7"/>
                <w:rFonts w:ascii="Times New Roman" w:hAnsi="Times New Roman" w:eastAsia="仿宋_GB2312" w:cs="Times New Roman"/>
                <w:sz w:val="21"/>
                <w:szCs w:val="21"/>
                <w:highlight w:val="none"/>
                <w:lang w:bidi="ar"/>
              </w:rPr>
              <w:t>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20" w:hRule="atLeast"/>
          <w:jc w:val="center"/>
        </w:trPr>
        <w:tc>
          <w:tcPr>
            <w:tcW w:w="413" w:type="dxa"/>
            <w:noWrap w:val="0"/>
            <w:tcMar>
              <w:top w:w="15" w:type="dxa"/>
              <w:left w:w="15" w:type="dxa"/>
              <w:right w:w="15" w:type="dxa"/>
            </w:tcMar>
            <w:vAlign w:val="center"/>
          </w:tcPr>
          <w:p>
            <w:pPr>
              <w:widowControl/>
              <w:spacing w:line="250" w:lineRule="exact"/>
              <w:jc w:val="center"/>
              <w:textAlignment w:val="center"/>
              <w:rPr>
                <w:rFonts w:hint="eastAsia" w:eastAsia="仿宋_GB2312"/>
                <w:color w:val="000000"/>
                <w:szCs w:val="21"/>
                <w:highlight w:val="none"/>
                <w:lang w:val="en-US" w:eastAsia="zh-CN"/>
              </w:rPr>
            </w:pPr>
            <w:r>
              <w:rPr>
                <w:rFonts w:eastAsia="仿宋_GB2312"/>
                <w:color w:val="000000"/>
                <w:kern w:val="0"/>
                <w:szCs w:val="21"/>
                <w:highlight w:val="none"/>
                <w:lang w:bidi="ar"/>
              </w:rPr>
              <w:t>1</w:t>
            </w:r>
            <w:r>
              <w:rPr>
                <w:rFonts w:hint="eastAsia" w:eastAsia="仿宋_GB2312"/>
                <w:color w:val="000000"/>
                <w:kern w:val="0"/>
                <w:szCs w:val="21"/>
                <w:highlight w:val="none"/>
                <w:lang w:val="en-US" w:eastAsia="zh-CN" w:bidi="ar"/>
              </w:rPr>
              <w:t>0</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年度重点工作任务分解、执行及落实情况</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 xml:space="preserve">政府工作报告分解; </w:t>
            </w:r>
            <w:r>
              <w:rPr>
                <w:rStyle w:val="7"/>
                <w:rFonts w:ascii="Times New Roman" w:hAnsi="Times New Roman" w:eastAsia="仿宋_GB2312" w:cs="Times New Roman"/>
                <w:sz w:val="21"/>
                <w:szCs w:val="21"/>
                <w:highlight w:val="none"/>
                <w:lang w:bidi="ar"/>
              </w:rPr>
              <w:t>重大决策、重要政策、政府工作报告、重点改革任务、重大工程项目、规划计划的执行措施、实施步骤、责任分工、监督方式及年度重点工作的阶段性进展或按季度取得的成效、落实情况通报和后续举措等信息。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highlight w:val="none"/>
                <w:lang w:val="en-US" w:eastAsia="zh-CN"/>
              </w:rPr>
            </w:pPr>
            <w:r>
              <w:rPr>
                <w:rFonts w:hint="eastAsia" w:eastAsia="仿宋_GB2312"/>
                <w:color w:val="000000"/>
                <w:kern w:val="0"/>
                <w:szCs w:val="21"/>
                <w:highlight w:val="none"/>
                <w:lang w:val="en-US" w:eastAsia="zh-CN" w:bidi="ar"/>
              </w:rPr>
              <w:t>11</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建议提案办理</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人大代表建议和政协委员提案办理工作制度、办理情况年度报告、办理答复。</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《国务院办公厅关于做好全国人大代表建议和全国政协委员提案办理结果公开工作的通知》（国办发﹝2014﹞46号）。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12</w:t>
            </w:r>
          </w:p>
        </w:tc>
        <w:tc>
          <w:tcPr>
            <w:tcW w:w="615"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管理和服务</w:t>
            </w: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hint="eastAsia" w:eastAsia="仿宋_GB2312"/>
                <w:color w:val="000000"/>
                <w:kern w:val="0"/>
                <w:szCs w:val="21"/>
                <w:highlight w:val="none"/>
                <w:lang w:eastAsia="zh-CN" w:bidi="ar"/>
              </w:rPr>
              <w:t>部门</w:t>
            </w:r>
            <w:r>
              <w:rPr>
                <w:rFonts w:eastAsia="仿宋_GB2312"/>
                <w:color w:val="000000"/>
                <w:kern w:val="0"/>
                <w:szCs w:val="21"/>
                <w:highlight w:val="none"/>
                <w:lang w:bidi="ar"/>
              </w:rPr>
              <w:t>领导</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领导分工、简历、联系方式、照片等。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9"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13</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组织机构</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机构简介</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机关职能、机构设置、办公地</w:t>
            </w:r>
            <w:r>
              <w:rPr>
                <w:rFonts w:eastAsia="仿宋_GB2312"/>
                <w:color w:val="000000"/>
                <w:spacing w:val="6"/>
                <w:kern w:val="0"/>
                <w:szCs w:val="21"/>
                <w:highlight w:val="none"/>
                <w:lang w:bidi="ar"/>
              </w:rPr>
              <w:t>址、办公时间、联系方式等。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14</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内设机构及下属单位</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内设机构及下属单位设置、职能、办公地址、办公时间、联系方式、负责人姓名等。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15</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人事信息</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人事任免、人员招考录用等信息。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16</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新闻发布</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新闻发布</w:t>
            </w:r>
            <w:r>
              <w:rPr>
                <w:rStyle w:val="7"/>
                <w:rFonts w:ascii="Times New Roman" w:hAnsi="Times New Roman" w:eastAsia="仿宋_GB2312" w:cs="Times New Roman"/>
                <w:sz w:val="21"/>
                <w:szCs w:val="21"/>
                <w:highlight w:val="none"/>
                <w:lang w:bidi="ar"/>
              </w:rPr>
              <w:t>会及其他形式的新闻宣传信息</w:t>
            </w:r>
            <w:r>
              <w:rPr>
                <w:rFonts w:eastAsia="仿宋_GB2312"/>
                <w:color w:val="000000"/>
                <w:kern w:val="0"/>
                <w:szCs w:val="21"/>
                <w:highlight w:val="none"/>
                <w:lang w:bidi="ar"/>
              </w:rPr>
              <w:t>。</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w:t>
            </w:r>
            <w:r>
              <w:rPr>
                <w:rFonts w:eastAsia="仿宋_GB2312"/>
                <w:color w:val="000000"/>
                <w:spacing w:val="-11"/>
                <w:kern w:val="0"/>
                <w:szCs w:val="21"/>
                <w:highlight w:val="none"/>
                <w:lang w:bidi="ar"/>
              </w:rPr>
              <w:t>中华人民共和国政府信息公开条例》（国务院令第711号）</w:t>
            </w:r>
            <w:r>
              <w:rPr>
                <w:rFonts w:eastAsia="仿宋_GB2312"/>
                <w:color w:val="000000"/>
                <w:kern w:val="0"/>
                <w:szCs w:val="21"/>
                <w:highlight w:val="none"/>
                <w:lang w:bidi="ar"/>
              </w:rPr>
              <w:t>；</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17</w:t>
            </w:r>
          </w:p>
        </w:tc>
        <w:tc>
          <w:tcPr>
            <w:tcW w:w="615" w:type="dxa"/>
            <w:vMerge w:val="restart"/>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管理和服务</w:t>
            </w: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政策解读</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转发国家和省、市、县（市、区）等上级机关或者专家、学者关于法律法规规章及上级重要政策措施的解读；部门负责人通过参加新闻发布会、发表署名文章或接受媒体采访等形式就相关政策进行解读；深入解读重要政策文件的制定背景、起草过程、工作目标、主要内容、创新举措和下一步工作考虑等。鼓励采用图片图表、音频视频、卡通动漫等群众喜闻乐见的展现形式提升解读效果。</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75"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18</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回应关切</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主动回应</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公开与本部门职能相关的社会热点，以及人民群众办事的堵点痛点等信息；召开新闻发布会、接受新闻媒体采访、转载新闻媒体正面宣传报道以及针对涉及群众切身利益、影响社会稳定和突发公共事件的重点事项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按规定及时公开。</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60"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19</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互动回应</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在收集分析研判舆情的基础上，针对舆论关注的焦点、热点和群众投诉咨询问题</w:t>
            </w:r>
            <w:r>
              <w:rPr>
                <w:rFonts w:eastAsia="仿宋_GB2312"/>
                <w:color w:val="000000"/>
                <w:spacing w:val="-11"/>
                <w:kern w:val="0"/>
                <w:szCs w:val="21"/>
                <w:highlight w:val="none"/>
                <w:lang w:bidi="ar"/>
              </w:rPr>
              <w:t>的互动回应、回复处理内容。</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按规定及时公开。</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7"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20</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管理和服务</w:t>
            </w: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监督保障</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监督保障</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发布政务公开制度及政务公开工作开展、工作交流等信息。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《中华人民共和国政府信息公开条例》（国务院令第711号）；</w:t>
            </w:r>
            <w:r>
              <w:rPr>
                <w:rFonts w:eastAsia="仿宋_GB2312"/>
                <w:color w:val="000000"/>
                <w:kern w:val="0"/>
                <w:szCs w:val="21"/>
                <w:highlight w:val="none"/>
                <w:lang w:bidi="ar"/>
              </w:rPr>
              <w:br w:type="textWrapping"/>
            </w:r>
            <w:r>
              <w:rPr>
                <w:rFonts w:eastAsia="仿宋_GB2312"/>
                <w:color w:val="000000"/>
                <w:kern w:val="0"/>
                <w:szCs w:val="21"/>
                <w:highlight w:val="none"/>
                <w:lang w:bidi="ar"/>
              </w:rPr>
              <w:t>《中共中央办公厅国务院办公厅印发〈关于全面推进政务公开工作的意见〉的通知》（中办发〔2016〕8号）。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93"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21</w:t>
            </w:r>
          </w:p>
        </w:tc>
        <w:tc>
          <w:tcPr>
            <w:tcW w:w="615"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重点领域信息公开</w:t>
            </w:r>
          </w:p>
        </w:tc>
        <w:tc>
          <w:tcPr>
            <w:tcW w:w="57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财政资金</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年度财政预决算</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本年度预算报表及说明；上年度决算报表及说明等信息。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spacing w:val="-6"/>
                <w:kern w:val="0"/>
                <w:szCs w:val="21"/>
                <w:highlight w:val="none"/>
                <w:lang w:bidi="ar"/>
              </w:rPr>
              <w:t>《中华人民共和国预算法》；</w:t>
            </w:r>
            <w:r>
              <w:rPr>
                <w:rFonts w:eastAsia="仿宋_GB2312"/>
                <w:color w:val="000000"/>
                <w:kern w:val="0"/>
                <w:szCs w:val="21"/>
                <w:highlight w:val="none"/>
                <w:lang w:bidi="ar"/>
              </w:rPr>
              <w:br w:type="textWrapping"/>
            </w:r>
            <w:r>
              <w:rPr>
                <w:rFonts w:eastAsia="仿宋_GB2312"/>
                <w:color w:val="000000"/>
                <w:kern w:val="0"/>
                <w:szCs w:val="21"/>
                <w:highlight w:val="none"/>
                <w:lang w:bidi="ar"/>
              </w:rPr>
              <w:t>《中共中央办公厅国务院办公厅印发〈关于进一步推进预算公开工作的意见〉的通知》（中办发〔2016〕13号）；《关于印发〈地方预决算公开操作规程〉的通知》（财预〔2016〕143号）。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本级政府财政部门批复后20日内。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val="en-US" w:eastAsia="zh-CN"/>
              </w:rPr>
            </w:pPr>
            <w:r>
              <w:rPr>
                <w:rFonts w:hint="eastAsia" w:eastAsia="仿宋_GB2312"/>
                <w:color w:val="000000"/>
                <w:szCs w:val="21"/>
                <w:highlight w:val="none"/>
                <w:lang w:val="en-US" w:eastAsia="zh-CN"/>
              </w:rPr>
              <w:t>江苏省预决算公开统一平台</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hint="default" w:eastAsia="仿宋_GB2312"/>
                <w:color w:val="000000"/>
                <w:szCs w:val="21"/>
                <w:highlight w:val="none"/>
                <w:lang w:val="en-US" w:eastAsia="zh-CN"/>
              </w:rPr>
            </w:pPr>
            <w:r>
              <w:rPr>
                <w:rFonts w:hint="eastAsia" w:eastAsia="仿宋_GB2312"/>
                <w:color w:val="000000"/>
                <w:szCs w:val="21"/>
                <w:highlight w:val="none"/>
                <w:lang w:val="en-US" w:eastAsia="zh-CN"/>
              </w:rPr>
              <w:t>22</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部门项目</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公开项目立项依据、实施主体、预算安排、绩效目标、绩效自评结果、绩效评价报告等信息。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《国务院办公厅关于印发2019年政务公开工作要点的通知》（国办发〔2019〕14号）。</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办公室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val="en-US" w:eastAsia="zh-CN"/>
              </w:rPr>
              <w:t>江苏省预决算公开统一平台</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23</w:t>
            </w:r>
          </w:p>
        </w:tc>
        <w:tc>
          <w:tcPr>
            <w:tcW w:w="615"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重点领域信息公开</w:t>
            </w:r>
          </w:p>
        </w:tc>
        <w:tc>
          <w:tcPr>
            <w:tcW w:w="570" w:type="dxa"/>
            <w:vMerge w:val="restart"/>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应急管理</w:t>
            </w: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应急预案</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总体预案、事故灾害类预案、社会安全事件类预案、自然灾害类预案和公共卫生事件类预案等。</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《国务院办公厅关于印发突发事件应急预案管理办法的通知》（国办发〔2013</w:t>
            </w:r>
            <w:r>
              <w:rPr>
                <w:rStyle w:val="7"/>
                <w:rFonts w:ascii="Times New Roman" w:hAnsi="Times New Roman" w:eastAsia="仿宋_GB2312" w:cs="Times New Roman"/>
                <w:sz w:val="21"/>
                <w:szCs w:val="21"/>
                <w:highlight w:val="none"/>
                <w:lang w:bidi="ar"/>
              </w:rPr>
              <w:t>〕</w:t>
            </w:r>
            <w:r>
              <w:rPr>
                <w:rFonts w:eastAsia="仿宋_GB2312"/>
                <w:color w:val="000000"/>
                <w:kern w:val="0"/>
                <w:szCs w:val="21"/>
                <w:highlight w:val="none"/>
                <w:lang w:bidi="ar"/>
              </w:rPr>
              <w:t>101</w:t>
            </w:r>
            <w:r>
              <w:rPr>
                <w:rStyle w:val="7"/>
                <w:rFonts w:ascii="Times New Roman" w:hAnsi="Times New Roman" w:eastAsia="仿宋_GB2312" w:cs="Times New Roman"/>
                <w:sz w:val="21"/>
                <w:szCs w:val="21"/>
                <w:highlight w:val="none"/>
                <w:lang w:bidi="ar"/>
              </w:rPr>
              <w:t>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及时公开。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监督管理科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24</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预警信息及应对情况</w:t>
            </w: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事故灾害类、社会安全事件类、自然灾害类和公共卫生事</w:t>
            </w:r>
            <w:r>
              <w:rPr>
                <w:rFonts w:eastAsia="仿宋_GB2312"/>
                <w:color w:val="000000"/>
                <w:spacing w:val="11"/>
                <w:kern w:val="0"/>
                <w:szCs w:val="21"/>
                <w:highlight w:val="none"/>
                <w:lang w:bidi="ar"/>
              </w:rPr>
              <w:t>件类预警信息及采取的应急处置措施与应对结果等。</w:t>
            </w:r>
          </w:p>
        </w:tc>
        <w:tc>
          <w:tcPr>
            <w:tcW w:w="2520" w:type="dxa"/>
            <w:noWrap w:val="0"/>
            <w:tcMar>
              <w:top w:w="15" w:type="dxa"/>
              <w:left w:w="15" w:type="dxa"/>
              <w:right w:w="15" w:type="dxa"/>
            </w:tcMar>
            <w:vAlign w:val="center"/>
          </w:tcPr>
          <w:p>
            <w:pPr>
              <w:widowControl/>
              <w:spacing w:line="280" w:lineRule="exact"/>
              <w:jc w:val="distribute"/>
              <w:textAlignment w:val="center"/>
              <w:rPr>
                <w:rFonts w:eastAsia="仿宋_GB2312"/>
                <w:color w:val="000000"/>
                <w:spacing w:val="11"/>
                <w:kern w:val="0"/>
                <w:szCs w:val="21"/>
                <w:highlight w:val="none"/>
                <w:lang w:bidi="ar"/>
              </w:rPr>
            </w:pPr>
            <w:r>
              <w:rPr>
                <w:rFonts w:eastAsia="仿宋_GB2312"/>
                <w:color w:val="000000"/>
                <w:kern w:val="0"/>
                <w:szCs w:val="21"/>
                <w:highlight w:val="none"/>
                <w:lang w:bidi="ar"/>
              </w:rPr>
              <w:t>《中华人民共和国突发事件</w:t>
            </w:r>
            <w:r>
              <w:rPr>
                <w:rFonts w:eastAsia="仿宋_GB2312"/>
                <w:color w:val="000000"/>
                <w:spacing w:val="11"/>
                <w:kern w:val="0"/>
                <w:szCs w:val="21"/>
                <w:highlight w:val="none"/>
                <w:lang w:bidi="ar"/>
              </w:rPr>
              <w:t>应对法》（主席令第</w:t>
            </w:r>
          </w:p>
          <w:p>
            <w:pPr>
              <w:widowControl/>
              <w:spacing w:line="280" w:lineRule="exact"/>
              <w:textAlignment w:val="center"/>
              <w:rPr>
                <w:rFonts w:eastAsia="仿宋_GB2312"/>
                <w:color w:val="000000"/>
                <w:szCs w:val="21"/>
                <w:highlight w:val="none"/>
              </w:rPr>
            </w:pPr>
            <w:r>
              <w:rPr>
                <w:rFonts w:eastAsia="仿宋_GB2312"/>
                <w:color w:val="000000"/>
                <w:spacing w:val="11"/>
                <w:kern w:val="0"/>
                <w:szCs w:val="21"/>
                <w:highlight w:val="none"/>
                <w:lang w:bidi="ar"/>
              </w:rPr>
              <w:t>69号）。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及时公开。</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监督管理科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25</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权责清单</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集中展示经清理确定的本部门权力清单和责任清单总目录表；本部门权力总目录、分目录，分表及流程图，权力事项廉政风险点情况一览表，行政审批服务指南；经清理确定的取消的权力目录、下放的权力目录、转变管理方式的权力目录、承接的权力目录、冻结的权力目录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《中共中央办公厅国务院办公厅印发〈关于推行地方各级政府工作部门权力清单制度的指导意见〉的通知》（中办发〔2015〕21号）；</w:t>
            </w:r>
            <w:r>
              <w:rPr>
                <w:rFonts w:eastAsia="仿宋_GB2312"/>
                <w:color w:val="000000"/>
                <w:kern w:val="0"/>
                <w:szCs w:val="21"/>
                <w:highlight w:val="none"/>
                <w:lang w:bidi="ar"/>
              </w:rPr>
              <w:br w:type="textWrapping"/>
            </w:r>
            <w:r>
              <w:rPr>
                <w:rFonts w:eastAsia="仿宋_GB2312"/>
                <w:color w:val="000000"/>
                <w:kern w:val="0"/>
                <w:szCs w:val="21"/>
                <w:highlight w:val="none"/>
                <w:lang w:bidi="ar"/>
              </w:rPr>
              <w:t>《国务院办公厅关于做好证明事项清理工作的通知》（国办发〔2018〕47号）。</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按照法定时间公开。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行改科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26</w:t>
            </w: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公共服务清单</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公开公共服务目录清单，包括提供所有服务事项的名称、内容、办理主体</w:t>
            </w:r>
            <w:r>
              <w:rPr>
                <w:rFonts w:hint="eastAsia" w:eastAsia="仿宋_GB2312"/>
                <w:color w:val="000000"/>
                <w:kern w:val="0"/>
                <w:szCs w:val="21"/>
                <w:highlight w:val="none"/>
                <w:lang w:bidi="ar"/>
              </w:rPr>
              <w:t>、</w:t>
            </w:r>
            <w:r>
              <w:rPr>
                <w:rFonts w:eastAsia="仿宋_GB2312"/>
                <w:color w:val="000000"/>
                <w:spacing w:val="6"/>
                <w:kern w:val="0"/>
                <w:szCs w:val="21"/>
                <w:highlight w:val="none"/>
                <w:lang w:bidi="ar"/>
              </w:rPr>
              <w:t>依据</w:t>
            </w:r>
            <w:r>
              <w:rPr>
                <w:rFonts w:hint="eastAsia" w:eastAsia="仿宋_GB2312"/>
                <w:color w:val="000000"/>
                <w:spacing w:val="6"/>
                <w:kern w:val="0"/>
                <w:szCs w:val="21"/>
                <w:highlight w:val="none"/>
                <w:lang w:bidi="ar"/>
              </w:rPr>
              <w:t>、</w:t>
            </w:r>
            <w:r>
              <w:rPr>
                <w:rFonts w:eastAsia="仿宋_GB2312"/>
                <w:color w:val="000000"/>
                <w:spacing w:val="6"/>
                <w:kern w:val="0"/>
                <w:szCs w:val="21"/>
                <w:highlight w:val="none"/>
                <w:lang w:bidi="ar"/>
              </w:rPr>
              <w:t>期限</w:t>
            </w:r>
            <w:r>
              <w:rPr>
                <w:rFonts w:hint="eastAsia" w:eastAsia="仿宋_GB2312"/>
                <w:color w:val="000000"/>
                <w:spacing w:val="6"/>
                <w:kern w:val="0"/>
                <w:szCs w:val="21"/>
                <w:highlight w:val="none"/>
                <w:lang w:bidi="ar"/>
              </w:rPr>
              <w:t>、</w:t>
            </w:r>
            <w:r>
              <w:rPr>
                <w:rFonts w:eastAsia="仿宋_GB2312"/>
                <w:color w:val="000000"/>
                <w:spacing w:val="6"/>
                <w:kern w:val="0"/>
                <w:szCs w:val="21"/>
                <w:highlight w:val="none"/>
                <w:lang w:bidi="ar"/>
              </w:rPr>
              <w:t>监督渠道等信息。</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《国务院办公厅关于简化优化公共服务流程方便基层群众办事创业的通知》(</w:t>
            </w:r>
            <w:r>
              <w:rPr>
                <w:rStyle w:val="7"/>
                <w:rFonts w:ascii="Times New Roman" w:hAnsi="Times New Roman" w:eastAsia="仿宋_GB2312" w:cs="Times New Roman"/>
                <w:sz w:val="21"/>
                <w:szCs w:val="21"/>
                <w:highlight w:val="none"/>
                <w:lang w:bidi="ar"/>
              </w:rPr>
              <w:t>国办发〔</w:t>
            </w:r>
            <w:r>
              <w:rPr>
                <w:rFonts w:eastAsia="仿宋_GB2312"/>
                <w:color w:val="000000"/>
                <w:kern w:val="0"/>
                <w:szCs w:val="21"/>
                <w:highlight w:val="none"/>
                <w:lang w:bidi="ar"/>
              </w:rPr>
              <w:t>2015</w:t>
            </w:r>
            <w:r>
              <w:rPr>
                <w:rStyle w:val="7"/>
                <w:rFonts w:ascii="Times New Roman" w:hAnsi="Times New Roman" w:eastAsia="仿宋_GB2312" w:cs="Times New Roman"/>
                <w:sz w:val="21"/>
                <w:szCs w:val="21"/>
                <w:highlight w:val="none"/>
                <w:lang w:bidi="ar"/>
              </w:rPr>
              <w:t>〕</w:t>
            </w:r>
            <w:r>
              <w:rPr>
                <w:rFonts w:eastAsia="仿宋_GB2312"/>
                <w:color w:val="000000"/>
                <w:kern w:val="0"/>
                <w:szCs w:val="21"/>
                <w:highlight w:val="none"/>
                <w:lang w:bidi="ar"/>
              </w:rPr>
              <w:t>86</w:t>
            </w:r>
            <w:r>
              <w:rPr>
                <w:rStyle w:val="7"/>
                <w:rFonts w:ascii="Times New Roman" w:hAnsi="Times New Roman" w:eastAsia="仿宋_GB2312" w:cs="Times New Roman"/>
                <w:sz w:val="21"/>
                <w:szCs w:val="21"/>
                <w:highlight w:val="none"/>
                <w:lang w:bidi="ar"/>
              </w:rPr>
              <w:t>号</w:t>
            </w:r>
            <w:r>
              <w:rPr>
                <w:rFonts w:eastAsia="仿宋_GB2312"/>
                <w:color w:val="000000"/>
                <w:kern w:val="0"/>
                <w:szCs w:val="21"/>
                <w:highlight w:val="none"/>
                <w:lang w:bidi="ar"/>
              </w:rPr>
              <w:t>)</w:t>
            </w:r>
            <w:r>
              <w:rPr>
                <w:rStyle w:val="7"/>
                <w:rFonts w:ascii="Times New Roman" w:hAnsi="Times New Roman" w:eastAsia="仿宋_GB2312" w:cs="Times New Roman"/>
                <w:sz w:val="21"/>
                <w:szCs w:val="21"/>
                <w:highlight w:val="none"/>
                <w:lang w:bidi="ar"/>
              </w:rPr>
              <w:t>。</w:t>
            </w:r>
          </w:p>
        </w:tc>
        <w:tc>
          <w:tcPr>
            <w:tcW w:w="252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及时公开。</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行改科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p>
          <w:p>
            <w:pPr>
              <w:widowControl/>
              <w:spacing w:line="280" w:lineRule="exact"/>
              <w:jc w:val="center"/>
              <w:textAlignment w:val="center"/>
              <w:rPr>
                <w:rFonts w:eastAsia="仿宋_GB2312"/>
                <w:color w:val="000000"/>
                <w:szCs w:val="21"/>
                <w:highlight w:val="none"/>
              </w:rPr>
            </w:pPr>
          </w:p>
        </w:tc>
        <w:tc>
          <w:tcPr>
            <w:tcW w:w="615" w:type="dxa"/>
            <w:vMerge w:val="continue"/>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行政权力运行</w:t>
            </w:r>
          </w:p>
        </w:tc>
        <w:tc>
          <w:tcPr>
            <w:tcW w:w="61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定期公开各项行政权力事项办理结果，结果要素齐全、具体。 </w:t>
            </w:r>
          </w:p>
        </w:tc>
        <w:tc>
          <w:tcPr>
            <w:tcW w:w="2520" w:type="dxa"/>
            <w:noWrap w:val="0"/>
            <w:tcMar>
              <w:top w:w="15" w:type="dxa"/>
              <w:left w:w="15" w:type="dxa"/>
              <w:right w:w="15" w:type="dxa"/>
            </w:tcMar>
            <w:vAlign w:val="center"/>
          </w:tcPr>
          <w:p>
            <w:pPr>
              <w:widowControl/>
              <w:spacing w:line="280" w:lineRule="exact"/>
              <w:rPr>
                <w:rFonts w:eastAsia="仿宋_GB2312"/>
                <w:color w:val="000000"/>
                <w:szCs w:val="21"/>
                <w:highlight w:val="none"/>
              </w:rPr>
            </w:pPr>
            <w:r>
              <w:rPr>
                <w:rFonts w:hint="eastAsia" w:eastAsia="仿宋_GB2312"/>
                <w:color w:val="000000"/>
                <w:kern w:val="0"/>
                <w:szCs w:val="21"/>
                <w:highlight w:val="none"/>
                <w:lang w:bidi="ar"/>
              </w:rPr>
              <w:t>《江苏省政府办公厅关于全面清理行政权力建立权力清单制度的通知》（苏政</w:t>
            </w:r>
            <w:r>
              <w:rPr>
                <w:rStyle w:val="7"/>
                <w:rFonts w:ascii="Times New Roman" w:hAnsi="Times New Roman" w:eastAsia="仿宋_GB2312" w:cs="Times New Roman"/>
                <w:sz w:val="21"/>
                <w:szCs w:val="21"/>
                <w:highlight w:val="none"/>
                <w:lang w:bidi="ar"/>
              </w:rPr>
              <w:t>办发〔</w:t>
            </w:r>
            <w:r>
              <w:rPr>
                <w:rFonts w:eastAsia="仿宋_GB2312"/>
                <w:color w:val="000000"/>
                <w:kern w:val="0"/>
                <w:szCs w:val="21"/>
                <w:highlight w:val="none"/>
                <w:lang w:bidi="ar"/>
              </w:rPr>
              <w:t>201</w:t>
            </w:r>
            <w:r>
              <w:rPr>
                <w:rFonts w:hint="eastAsia" w:eastAsia="仿宋_GB2312"/>
                <w:color w:val="000000"/>
                <w:kern w:val="0"/>
                <w:szCs w:val="21"/>
                <w:highlight w:val="none"/>
                <w:lang w:bidi="ar"/>
              </w:rPr>
              <w:t>4</w:t>
            </w:r>
            <w:r>
              <w:rPr>
                <w:rStyle w:val="7"/>
                <w:rFonts w:ascii="Times New Roman" w:hAnsi="Times New Roman" w:eastAsia="仿宋_GB2312" w:cs="Times New Roman"/>
                <w:sz w:val="21"/>
                <w:szCs w:val="21"/>
                <w:highlight w:val="none"/>
                <w:lang w:bidi="ar"/>
              </w:rPr>
              <w:t>〕</w:t>
            </w:r>
            <w:r>
              <w:rPr>
                <w:rFonts w:eastAsia="仿宋_GB2312"/>
                <w:color w:val="000000"/>
                <w:kern w:val="0"/>
                <w:szCs w:val="21"/>
                <w:highlight w:val="none"/>
                <w:lang w:bidi="ar"/>
              </w:rPr>
              <w:t>8</w:t>
            </w:r>
            <w:r>
              <w:rPr>
                <w:rFonts w:hint="eastAsia" w:eastAsia="仿宋_GB2312"/>
                <w:color w:val="000000"/>
                <w:kern w:val="0"/>
                <w:szCs w:val="21"/>
                <w:highlight w:val="none"/>
                <w:lang w:bidi="ar"/>
              </w:rPr>
              <w:t>1</w:t>
            </w:r>
            <w:r>
              <w:rPr>
                <w:rStyle w:val="7"/>
                <w:rFonts w:ascii="Times New Roman" w:hAnsi="Times New Roman" w:eastAsia="仿宋_GB2312" w:cs="Times New Roman"/>
                <w:sz w:val="21"/>
                <w:szCs w:val="21"/>
                <w:highlight w:val="none"/>
                <w:lang w:bidi="ar"/>
              </w:rPr>
              <w:t>号</w:t>
            </w:r>
            <w:r>
              <w:rPr>
                <w:rFonts w:eastAsia="仿宋_GB2312"/>
                <w:color w:val="000000"/>
                <w:kern w:val="0"/>
                <w:szCs w:val="21"/>
                <w:highlight w:val="none"/>
                <w:lang w:bidi="ar"/>
              </w:rPr>
              <w:t>)</w:t>
            </w:r>
            <w:r>
              <w:rPr>
                <w:rStyle w:val="7"/>
                <w:rFonts w:ascii="Times New Roman" w:hAnsi="Times New Roman" w:eastAsia="仿宋_GB2312" w:cs="Times New Roman"/>
                <w:sz w:val="21"/>
                <w:szCs w:val="21"/>
                <w:highlight w:val="none"/>
                <w:lang w:bidi="ar"/>
              </w:rPr>
              <w:t>。</w:t>
            </w:r>
          </w:p>
        </w:tc>
        <w:tc>
          <w:tcPr>
            <w:tcW w:w="2520" w:type="dxa"/>
            <w:noWrap w:val="0"/>
            <w:tcMar>
              <w:top w:w="15" w:type="dxa"/>
              <w:left w:w="15" w:type="dxa"/>
              <w:right w:w="15" w:type="dxa"/>
            </w:tcMar>
            <w:vAlign w:val="center"/>
          </w:tcPr>
          <w:p>
            <w:pPr>
              <w:widowControl/>
              <w:spacing w:line="28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行改科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34"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eastAsia="仿宋_GB2312"/>
                <w:color w:val="000000"/>
                <w:szCs w:val="21"/>
                <w:highlight w:val="none"/>
              </w:rPr>
            </w:pPr>
            <w:r>
              <w:rPr>
                <w:rFonts w:eastAsia="仿宋_GB2312"/>
                <w:color w:val="000000"/>
                <w:kern w:val="0"/>
                <w:szCs w:val="21"/>
                <w:highlight w:val="none"/>
                <w:lang w:bidi="ar"/>
              </w:rPr>
              <w:t>28</w:t>
            </w:r>
          </w:p>
        </w:tc>
        <w:tc>
          <w:tcPr>
            <w:tcW w:w="615" w:type="dxa"/>
            <w:vMerge w:val="restart"/>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r>
              <w:rPr>
                <w:rFonts w:eastAsia="仿宋_GB2312"/>
                <w:color w:val="000000"/>
                <w:kern w:val="0"/>
                <w:szCs w:val="21"/>
                <w:highlight w:val="none"/>
                <w:lang w:bidi="ar"/>
              </w:rPr>
              <w:t>重点领域信息公开</w:t>
            </w:r>
          </w:p>
        </w:tc>
        <w:tc>
          <w:tcPr>
            <w:tcW w:w="570"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615"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行政许可和行政处罚双公示</w:t>
            </w: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kern w:val="0"/>
                <w:szCs w:val="21"/>
                <w:highlight w:val="none"/>
                <w:lang w:bidi="ar"/>
              </w:rPr>
            </w:pPr>
            <w:r>
              <w:rPr>
                <w:rFonts w:eastAsia="仿宋_GB2312"/>
                <w:color w:val="000000"/>
                <w:kern w:val="0"/>
                <w:szCs w:val="21"/>
                <w:highlight w:val="none"/>
                <w:lang w:bidi="ar"/>
              </w:rPr>
              <w:t>行政许可和行政处罚双公示信息。</w:t>
            </w:r>
          </w:p>
        </w:tc>
        <w:tc>
          <w:tcPr>
            <w:tcW w:w="2520" w:type="dxa"/>
            <w:noWrap w:val="0"/>
            <w:tcMar>
              <w:top w:w="15" w:type="dxa"/>
              <w:left w:w="15" w:type="dxa"/>
              <w:right w:w="15" w:type="dxa"/>
            </w:tcMar>
            <w:vAlign w:val="center"/>
          </w:tcPr>
          <w:p>
            <w:pPr>
              <w:widowControl/>
              <w:spacing w:line="250" w:lineRule="exact"/>
              <w:rPr>
                <w:rFonts w:eastAsia="仿宋_GB2312"/>
                <w:color w:val="000000"/>
                <w:kern w:val="0"/>
                <w:szCs w:val="21"/>
                <w:highlight w:val="none"/>
                <w:lang w:bidi="ar"/>
              </w:rPr>
            </w:pPr>
            <w:r>
              <w:rPr>
                <w:rFonts w:eastAsia="仿宋_GB2312"/>
                <w:color w:val="000000"/>
                <w:kern w:val="0"/>
                <w:szCs w:val="21"/>
                <w:highlight w:val="none"/>
                <w:lang w:bidi="ar"/>
              </w:rPr>
              <w:t>《国家发展改革委办公厅关于进一步完善行政许可和行政处罚等信用信息公示工作的指导意见》（发改办财金〔2018〕424号）。</w:t>
            </w:r>
          </w:p>
        </w:tc>
        <w:tc>
          <w:tcPr>
            <w:tcW w:w="2520" w:type="dxa"/>
            <w:noWrap w:val="0"/>
            <w:tcMar>
              <w:top w:w="15" w:type="dxa"/>
              <w:left w:w="15" w:type="dxa"/>
              <w:right w:w="15" w:type="dxa"/>
            </w:tcMar>
            <w:vAlign w:val="center"/>
          </w:tcPr>
          <w:p>
            <w:pPr>
              <w:widowControl/>
              <w:spacing w:line="250" w:lineRule="exact"/>
              <w:rPr>
                <w:rFonts w:eastAsia="仿宋_GB2312"/>
                <w:color w:val="000000"/>
                <w:szCs w:val="21"/>
                <w:highlight w:val="none"/>
              </w:rPr>
            </w:pPr>
            <w:r>
              <w:rPr>
                <w:rFonts w:eastAsia="仿宋_GB2312"/>
                <w:color w:val="000000"/>
                <w:kern w:val="0"/>
                <w:szCs w:val="21"/>
                <w:highlight w:val="none"/>
                <w:lang w:bidi="ar"/>
              </w:rPr>
              <w:t>作出行政许可、行政处罚决定之日起7个工作日内。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审批科室</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rPr>
              <w:t>连云港市行政许可和行政处罚等信用信息公示专栏</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jc w:val="center"/>
        </w:trPr>
        <w:tc>
          <w:tcPr>
            <w:tcW w:w="413" w:type="dxa"/>
            <w:noWrap w:val="0"/>
            <w:tcMar>
              <w:top w:w="15" w:type="dxa"/>
              <w:left w:w="15" w:type="dxa"/>
              <w:right w:w="15" w:type="dxa"/>
            </w:tcMar>
            <w:vAlign w:val="center"/>
          </w:tcPr>
          <w:p>
            <w:pPr>
              <w:widowControl/>
              <w:spacing w:line="280" w:lineRule="exact"/>
              <w:jc w:val="center"/>
              <w:textAlignment w:val="center"/>
              <w:rPr>
                <w:rFonts w:hint="eastAsia" w:eastAsia="仿宋_GB2312"/>
                <w:color w:val="000000"/>
                <w:szCs w:val="21"/>
                <w:highlight w:val="none"/>
                <w:lang w:val="en-US" w:eastAsia="zh-CN"/>
              </w:rPr>
            </w:pPr>
            <w:r>
              <w:rPr>
                <w:rFonts w:eastAsia="仿宋_GB2312"/>
                <w:color w:val="000000"/>
                <w:kern w:val="0"/>
                <w:szCs w:val="21"/>
                <w:highlight w:val="none"/>
                <w:lang w:bidi="ar"/>
              </w:rPr>
              <w:t>29</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“双随机一公开”</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监管过程中随机抽取检查对象、随机选派执法检查人员信息，抽查情况及查处结果信息。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《国务院办公厅关于推广随机抽查规范事中事后监管的通知》（国办发〔2015〕58号）；</w:t>
            </w:r>
          </w:p>
        </w:tc>
        <w:tc>
          <w:tcPr>
            <w:tcW w:w="2520" w:type="dxa"/>
            <w:noWrap w:val="0"/>
            <w:tcMar>
              <w:top w:w="15" w:type="dxa"/>
              <w:left w:w="15" w:type="dxa"/>
              <w:right w:w="15" w:type="dxa"/>
            </w:tcMar>
            <w:vAlign w:val="center"/>
          </w:tcPr>
          <w:p>
            <w:pPr>
              <w:widowControl/>
              <w:spacing w:line="250" w:lineRule="exact"/>
              <w:rPr>
                <w:rFonts w:eastAsia="仿宋_GB2312"/>
                <w:color w:val="000000"/>
                <w:szCs w:val="21"/>
                <w:highlight w:val="none"/>
              </w:rPr>
            </w:pPr>
            <w:r>
              <w:rPr>
                <w:rFonts w:eastAsia="仿宋_GB2312"/>
                <w:color w:val="000000"/>
                <w:kern w:val="0"/>
                <w:szCs w:val="21"/>
                <w:highlight w:val="none"/>
                <w:lang w:bidi="ar"/>
              </w:rPr>
              <w:t>检查及查处结果作出之日起的7个工作日内。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监督管理科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rPr>
              <w:t>国家企业信用信息公示系统</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4" w:hRule="atLeast"/>
          <w:jc w:val="center"/>
        </w:trPr>
        <w:tc>
          <w:tcPr>
            <w:tcW w:w="413" w:type="dxa"/>
            <w:noWrap w:val="0"/>
            <w:tcMar>
              <w:top w:w="15" w:type="dxa"/>
              <w:left w:w="15" w:type="dxa"/>
              <w:right w:w="15" w:type="dxa"/>
            </w:tcMar>
            <w:vAlign w:val="center"/>
          </w:tcPr>
          <w:p>
            <w:pPr>
              <w:widowControl/>
              <w:spacing w:line="250" w:lineRule="exact"/>
              <w:jc w:val="center"/>
              <w:textAlignment w:val="center"/>
              <w:rPr>
                <w:rFonts w:hint="eastAsia" w:eastAsia="仿宋_GB2312"/>
                <w:color w:val="000000"/>
                <w:szCs w:val="21"/>
                <w:highlight w:val="none"/>
                <w:lang w:val="en-US" w:eastAsia="zh-CN"/>
              </w:rPr>
            </w:pPr>
            <w:r>
              <w:rPr>
                <w:rFonts w:eastAsia="仿宋_GB2312"/>
                <w:color w:val="000000"/>
                <w:kern w:val="0"/>
                <w:szCs w:val="21"/>
                <w:highlight w:val="none"/>
                <w:lang w:bidi="ar"/>
              </w:rPr>
              <w:t>3</w:t>
            </w:r>
            <w:r>
              <w:rPr>
                <w:rFonts w:hint="eastAsia" w:eastAsia="仿宋_GB2312"/>
                <w:color w:val="000000"/>
                <w:kern w:val="0"/>
                <w:szCs w:val="21"/>
                <w:highlight w:val="none"/>
                <w:lang w:val="en-US" w:eastAsia="zh-CN" w:bidi="ar"/>
              </w:rPr>
              <w:t>0</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网上政务服务</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公开办事指南及流程、公共服务事项办件结果、企业及个人全生命周期事项办理指南、流程、过程结果查询等信息（可链接到政务服务网本地分厅）。</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国务院关于加快推进“互联网+政务服务”工作的指导意见》（国发〔2016〕55号）；《国务院办公厅关于印发进一步深化“互联网+政务服务”推进政务服务“一网、一门、一次”改革实施方案的通知》（国办发〔2018〕45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按照有关规定及时公开。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行改科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szCs w:val="21"/>
                <w:highlight w:val="none"/>
                <w:lang w:eastAsia="zh-CN"/>
              </w:rPr>
              <w:t>江苏政务服务网</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32" w:hRule="atLeast"/>
          <w:jc w:val="center"/>
        </w:trPr>
        <w:tc>
          <w:tcPr>
            <w:tcW w:w="413" w:type="dxa"/>
            <w:noWrap w:val="0"/>
            <w:tcMar>
              <w:top w:w="15" w:type="dxa"/>
              <w:left w:w="15" w:type="dxa"/>
              <w:right w:w="15" w:type="dxa"/>
            </w:tcMar>
            <w:vAlign w:val="center"/>
          </w:tcPr>
          <w:p>
            <w:pPr>
              <w:widowControl/>
              <w:spacing w:line="250" w:lineRule="exact"/>
              <w:jc w:val="center"/>
              <w:textAlignment w:val="center"/>
              <w:rPr>
                <w:rFonts w:hint="eastAsia" w:eastAsia="仿宋_GB2312"/>
                <w:color w:val="000000"/>
                <w:szCs w:val="21"/>
                <w:highlight w:val="none"/>
                <w:lang w:eastAsia="zh-CN"/>
              </w:rPr>
            </w:pPr>
            <w:r>
              <w:rPr>
                <w:rFonts w:eastAsia="仿宋_GB2312"/>
                <w:color w:val="000000"/>
                <w:kern w:val="0"/>
                <w:szCs w:val="21"/>
                <w:highlight w:val="none"/>
                <w:lang w:bidi="ar"/>
              </w:rPr>
              <w:t>3</w:t>
            </w:r>
            <w:r>
              <w:rPr>
                <w:rFonts w:hint="eastAsia" w:eastAsia="仿宋_GB2312"/>
                <w:color w:val="000000"/>
                <w:kern w:val="0"/>
                <w:szCs w:val="21"/>
                <w:highlight w:val="none"/>
                <w:lang w:val="en-US" w:eastAsia="zh-CN" w:bidi="ar"/>
              </w:rPr>
              <w:t>1</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招标采购</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公开招标公示、招标采购预算及中标候选人公告，成交情况及实施情况等信息。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《中华人民共和国信息公开条例》（国务院令第492号）；《中华人民共和国招标投标法实施条例》（国务院令第698号）。</w:t>
            </w:r>
          </w:p>
        </w:tc>
        <w:tc>
          <w:tcPr>
            <w:tcW w:w="2520" w:type="dxa"/>
            <w:noWrap w:val="0"/>
            <w:tcMar>
              <w:top w:w="15" w:type="dxa"/>
              <w:left w:w="15" w:type="dxa"/>
              <w:right w:w="15" w:type="dxa"/>
            </w:tcMar>
            <w:vAlign w:val="center"/>
          </w:tcPr>
          <w:p>
            <w:pPr>
              <w:widowControl/>
              <w:spacing w:line="250" w:lineRule="exact"/>
              <w:rPr>
                <w:rFonts w:eastAsia="仿宋_GB2312"/>
                <w:color w:val="000000"/>
                <w:szCs w:val="21"/>
                <w:highlight w:val="none"/>
              </w:rPr>
            </w:pPr>
            <w:r>
              <w:rPr>
                <w:rFonts w:eastAsia="仿宋_GB2312"/>
                <w:color w:val="000000"/>
                <w:kern w:val="0"/>
                <w:szCs w:val="21"/>
                <w:highlight w:val="none"/>
                <w:lang w:bidi="ar"/>
              </w:rPr>
              <w:t>按照有关规定及时公开。</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公共资源科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连云港市政府采购交易平台</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hint="eastAsia" w:eastAsia="仿宋_GB2312"/>
                <w:color w:val="000000"/>
                <w:szCs w:val="21"/>
                <w:highlight w:val="none"/>
                <w:lang w:eastAsia="zh-CN"/>
              </w:rPr>
            </w:pPr>
            <w:r>
              <w:rPr>
                <w:rFonts w:eastAsia="仿宋_GB2312"/>
                <w:color w:val="000000"/>
                <w:kern w:val="0"/>
                <w:szCs w:val="21"/>
                <w:highlight w:val="none"/>
                <w:lang w:bidi="ar"/>
              </w:rPr>
              <w:t>3</w:t>
            </w:r>
            <w:r>
              <w:rPr>
                <w:rFonts w:hint="eastAsia" w:eastAsia="仿宋_GB2312"/>
                <w:color w:val="000000"/>
                <w:kern w:val="0"/>
                <w:szCs w:val="21"/>
                <w:highlight w:val="none"/>
                <w:lang w:val="en-US" w:eastAsia="zh-CN" w:bidi="ar"/>
              </w:rPr>
              <w:t>2</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widowControl/>
              <w:spacing w:line="250" w:lineRule="exact"/>
              <w:jc w:val="center"/>
              <w:textAlignment w:val="center"/>
              <w:rPr>
                <w:rFonts w:eastAsia="仿宋_GB2312"/>
                <w:color w:val="000000"/>
                <w:szCs w:val="21"/>
                <w:highlight w:val="none"/>
              </w:rPr>
            </w:pPr>
            <w:r>
              <w:rPr>
                <w:rFonts w:eastAsia="仿宋_GB2312"/>
                <w:color w:val="000000"/>
                <w:kern w:val="0"/>
                <w:szCs w:val="21"/>
                <w:highlight w:val="none"/>
                <w:lang w:bidi="ar"/>
              </w:rPr>
              <w:t>扶贫信息</w:t>
            </w:r>
          </w:p>
        </w:tc>
        <w:tc>
          <w:tcPr>
            <w:tcW w:w="615" w:type="dxa"/>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2535"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扶贫相关的政策文件、扶贫项目及帮扶工作信息。</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《国务院办公厅关于推进社会公益事业建设领域政府信息公开的意见》（国办发〔2018〕10号）；</w:t>
            </w:r>
          </w:p>
        </w:tc>
        <w:tc>
          <w:tcPr>
            <w:tcW w:w="2520" w:type="dxa"/>
            <w:noWrap w:val="0"/>
            <w:tcMar>
              <w:top w:w="15" w:type="dxa"/>
              <w:left w:w="15" w:type="dxa"/>
              <w:right w:w="15" w:type="dxa"/>
            </w:tcMar>
            <w:vAlign w:val="center"/>
          </w:tcPr>
          <w:p>
            <w:pPr>
              <w:widowControl/>
              <w:spacing w:line="250" w:lineRule="exact"/>
              <w:textAlignment w:val="center"/>
              <w:rPr>
                <w:rFonts w:eastAsia="仿宋_GB2312"/>
                <w:color w:val="000000"/>
                <w:szCs w:val="21"/>
                <w:highlight w:val="none"/>
              </w:rPr>
            </w:pPr>
            <w:r>
              <w:rPr>
                <w:rFonts w:eastAsia="仿宋_GB2312"/>
                <w:color w:val="000000"/>
                <w:kern w:val="0"/>
                <w:szCs w:val="21"/>
                <w:highlight w:val="none"/>
                <w:lang w:bidi="ar"/>
              </w:rPr>
              <w:t>自该信息形成或者变更之日起20个工作日内。</w:t>
            </w:r>
          </w:p>
        </w:tc>
        <w:tc>
          <w:tcPr>
            <w:tcW w:w="675" w:type="dxa"/>
            <w:noWrap w:val="0"/>
            <w:tcMar>
              <w:top w:w="15" w:type="dxa"/>
              <w:left w:w="15" w:type="dxa"/>
              <w:right w:w="15" w:type="dxa"/>
            </w:tcMar>
            <w:vAlign w:val="center"/>
          </w:tcPr>
          <w:p>
            <w:pPr>
              <w:widowControl/>
              <w:spacing w:line="280" w:lineRule="exact"/>
              <w:jc w:val="center"/>
              <w:rPr>
                <w:rFonts w:hint="eastAsia" w:eastAsia="仿宋_GB2312"/>
                <w:color w:val="000000"/>
                <w:szCs w:val="21"/>
                <w:highlight w:val="none"/>
                <w:lang w:eastAsia="zh-CN"/>
              </w:rPr>
            </w:pPr>
            <w:r>
              <w:rPr>
                <w:rFonts w:hint="eastAsia" w:eastAsia="仿宋_GB2312"/>
                <w:color w:val="000000"/>
                <w:szCs w:val="21"/>
                <w:highlight w:val="none"/>
                <w:lang w:eastAsia="zh-CN"/>
              </w:rPr>
              <w:t>综合审批科</w:t>
            </w:r>
          </w:p>
        </w:tc>
        <w:tc>
          <w:tcPr>
            <w:tcW w:w="70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720"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eastAsia="仿宋_GB2312"/>
                <w:color w:val="000000"/>
                <w:kern w:val="0"/>
                <w:szCs w:val="21"/>
                <w:highlight w:val="none"/>
                <w:lang w:bidi="ar"/>
              </w:rPr>
              <w:t>√</w:t>
            </w:r>
          </w:p>
        </w:tc>
        <w:tc>
          <w:tcPr>
            <w:tcW w:w="525"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p>
        </w:tc>
        <w:tc>
          <w:tcPr>
            <w:tcW w:w="1249" w:type="dxa"/>
            <w:noWrap w:val="0"/>
            <w:tcMar>
              <w:top w:w="15" w:type="dxa"/>
              <w:left w:w="15" w:type="dxa"/>
              <w:right w:w="15" w:type="dxa"/>
            </w:tcMar>
            <w:vAlign w:val="center"/>
          </w:tcPr>
          <w:p>
            <w:pPr>
              <w:widowControl/>
              <w:spacing w:line="280" w:lineRule="exact"/>
              <w:jc w:val="center"/>
              <w:rPr>
                <w:rFonts w:eastAsia="仿宋_GB2312"/>
                <w:color w:val="000000"/>
                <w:szCs w:val="21"/>
                <w:highlight w:val="none"/>
              </w:rPr>
            </w:pPr>
            <w:r>
              <w:rPr>
                <w:rFonts w:hint="eastAsia" w:eastAsia="仿宋_GB2312"/>
                <w:color w:val="000000"/>
                <w:kern w:val="0"/>
                <w:szCs w:val="21"/>
                <w:highlight w:val="none"/>
                <w:lang w:eastAsia="zh-CN" w:bidi="ar"/>
              </w:rPr>
              <w:t>灌南县</w:t>
            </w:r>
            <w:r>
              <w:rPr>
                <w:rFonts w:eastAsia="仿宋_GB2312"/>
                <w:color w:val="000000"/>
                <w:kern w:val="0"/>
                <w:szCs w:val="21"/>
                <w:highlight w:val="none"/>
                <w:lang w:bidi="ar"/>
              </w:rPr>
              <w:t>政府</w:t>
            </w:r>
            <w:r>
              <w:rPr>
                <w:rFonts w:hint="eastAsia" w:eastAsia="仿宋_GB2312"/>
                <w:color w:val="000000"/>
                <w:kern w:val="0"/>
                <w:szCs w:val="21"/>
                <w:highlight w:val="none"/>
                <w:lang w:eastAsia="zh-CN" w:bidi="ar"/>
              </w:rPr>
              <w:t>门户</w:t>
            </w:r>
            <w:r>
              <w:rPr>
                <w:rFonts w:eastAsia="仿宋_GB2312"/>
                <w:color w:val="000000"/>
                <w:kern w:val="0"/>
                <w:szCs w:val="21"/>
                <w:highlight w:val="none"/>
                <w:lang w:bidi="ar"/>
              </w:rPr>
              <w:t>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hint="default" w:eastAsia="仿宋_GB2312"/>
                <w:color w:val="000000"/>
                <w:kern w:val="0"/>
                <w:szCs w:val="21"/>
                <w:highlight w:val="none"/>
                <w:lang w:val="en-US" w:eastAsia="zh-CN" w:bidi="ar"/>
              </w:rPr>
            </w:pPr>
            <w:r>
              <w:rPr>
                <w:rFonts w:hint="eastAsia" w:eastAsia="仿宋_GB2312"/>
                <w:color w:val="000000"/>
                <w:kern w:val="0"/>
                <w:szCs w:val="21"/>
                <w:highlight w:val="none"/>
                <w:lang w:val="en-US" w:eastAsia="zh-CN" w:bidi="ar"/>
              </w:rPr>
              <w:t>33</w:t>
            </w:r>
          </w:p>
        </w:tc>
        <w:tc>
          <w:tcPr>
            <w:tcW w:w="615" w:type="dxa"/>
            <w:vMerge w:val="restart"/>
            <w:noWrap w:val="0"/>
            <w:tcMar>
              <w:top w:w="15" w:type="dxa"/>
              <w:left w:w="15" w:type="dxa"/>
              <w:right w:w="15" w:type="dxa"/>
            </w:tcMar>
            <w:vAlign w:val="center"/>
          </w:tcPr>
          <w:p>
            <w:pPr>
              <w:widowControl/>
              <w:spacing w:line="240" w:lineRule="atLeast"/>
              <w:jc w:val="center"/>
              <w:rPr>
                <w:rFonts w:eastAsia="仿宋_GB2312"/>
                <w:color w:val="000000"/>
                <w:szCs w:val="21"/>
                <w:highlight w:val="none"/>
              </w:rPr>
            </w:pPr>
            <w:r>
              <w:rPr>
                <w:rFonts w:eastAsia="仿宋_GB2312"/>
                <w:color w:val="000000"/>
                <w:kern w:val="0"/>
                <w:szCs w:val="21"/>
                <w:highlight w:val="none"/>
                <w:lang w:bidi="ar"/>
              </w:rPr>
              <w:t>重点领域信息公开</w:t>
            </w:r>
          </w:p>
        </w:tc>
        <w:tc>
          <w:tcPr>
            <w:tcW w:w="5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bidi="ar"/>
              </w:rPr>
              <w:t>政府投资项目审批</w:t>
            </w:r>
          </w:p>
        </w:tc>
        <w:tc>
          <w:tcPr>
            <w:tcW w:w="6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szCs w:val="21"/>
                <w:highlight w:val="none"/>
              </w:rPr>
            </w:pPr>
          </w:p>
        </w:tc>
        <w:tc>
          <w:tcPr>
            <w:tcW w:w="25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bidi="ar"/>
              </w:rPr>
              <w:t>审批结果、审批时间、审批单位、审批文号、 项目名称、项目统一代码等</w:t>
            </w:r>
          </w:p>
        </w:tc>
        <w:tc>
          <w:tcPr>
            <w:tcW w:w="25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22"/>
                <w:szCs w:val="22"/>
                <w:highlight w:val="none"/>
                <w:lang w:val="en-US" w:bidi="ar"/>
              </w:rPr>
            </w:pPr>
            <w:r>
              <w:rPr>
                <w:rFonts w:hint="eastAsia" w:ascii="宋体" w:hAnsi="宋体" w:cs="宋体"/>
                <w:color w:val="000000"/>
                <w:kern w:val="0"/>
                <w:sz w:val="22"/>
                <w:szCs w:val="22"/>
                <w:highlight w:val="none"/>
                <w:lang w:val="en-US" w:bidi="ar"/>
              </w:rPr>
              <w:t>《政府信息公开条例》、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bidi="ar"/>
              </w:rPr>
              <w:t>《关于全面推进政务公开工作意见》、《关于推进重大建设项目批准和实施领域政府信息公开的意见》</w:t>
            </w:r>
          </w:p>
        </w:tc>
        <w:tc>
          <w:tcPr>
            <w:tcW w:w="25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val="en-US" w:bidi="ar"/>
              </w:rPr>
              <w:t>实时公开</w:t>
            </w:r>
          </w:p>
        </w:tc>
        <w:tc>
          <w:tcPr>
            <w:tcW w:w="67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000000"/>
                <w:kern w:val="0"/>
                <w:sz w:val="22"/>
                <w:szCs w:val="22"/>
                <w:highlight w:val="none"/>
                <w:lang w:bidi="ar"/>
              </w:rPr>
            </w:pPr>
            <w:r>
              <w:rPr>
                <w:rFonts w:hint="eastAsia" w:ascii="宋体" w:hAnsi="宋体" w:cs="宋体"/>
                <w:color w:val="000000"/>
                <w:kern w:val="0"/>
                <w:sz w:val="22"/>
                <w:szCs w:val="22"/>
                <w:highlight w:val="none"/>
                <w:lang w:bidi="ar"/>
              </w:rPr>
              <w:t>灌南行政审批局</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szCs w:val="21"/>
                <w:highlight w:val="none"/>
                <w:lang w:eastAsia="zh-CN"/>
              </w:rPr>
            </w:pPr>
            <w:r>
              <w:rPr>
                <w:rFonts w:hint="eastAsia" w:ascii="宋体" w:hAnsi="宋体" w:cs="宋体"/>
                <w:color w:val="000000"/>
                <w:kern w:val="0"/>
                <w:sz w:val="22"/>
                <w:szCs w:val="22"/>
                <w:highlight w:val="none"/>
                <w:lang w:bidi="ar"/>
              </w:rPr>
              <w:t>经济审批科</w:t>
            </w:r>
          </w:p>
        </w:tc>
        <w:tc>
          <w:tcPr>
            <w:tcW w:w="70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bidi="ar"/>
              </w:rPr>
              <w:t>√</w:t>
            </w:r>
          </w:p>
        </w:tc>
        <w:tc>
          <w:tcPr>
            <w:tcW w:w="7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szCs w:val="21"/>
                <w:highlight w:val="none"/>
              </w:rPr>
            </w:pPr>
          </w:p>
        </w:tc>
        <w:tc>
          <w:tcPr>
            <w:tcW w:w="7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kern w:val="0"/>
                <w:szCs w:val="21"/>
                <w:highlight w:val="none"/>
                <w:lang w:bidi="ar"/>
              </w:rPr>
            </w:pPr>
            <w:r>
              <w:rPr>
                <w:rFonts w:hint="eastAsia" w:ascii="宋体" w:hAnsi="宋体" w:cs="宋体"/>
                <w:color w:val="000000"/>
                <w:kern w:val="0"/>
                <w:sz w:val="22"/>
                <w:szCs w:val="22"/>
                <w:highlight w:val="none"/>
                <w:lang w:bidi="ar"/>
              </w:rPr>
              <w:t>√</w:t>
            </w:r>
          </w:p>
        </w:tc>
        <w:tc>
          <w:tcPr>
            <w:tcW w:w="52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color w:val="000000"/>
                <w:szCs w:val="21"/>
                <w:highlight w:val="none"/>
              </w:rPr>
            </w:pPr>
          </w:p>
        </w:tc>
        <w:tc>
          <w:tcPr>
            <w:tcW w:w="124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color w:val="000000"/>
                <w:kern w:val="0"/>
                <w:szCs w:val="21"/>
                <w:highlight w:val="none"/>
                <w:lang w:eastAsia="zh-CN" w:bidi="ar"/>
              </w:rPr>
            </w:pPr>
            <w:r>
              <w:rPr>
                <w:rFonts w:hint="eastAsia" w:ascii="宋体" w:hAnsi="宋体" w:cs="宋体"/>
                <w:color w:val="000000"/>
                <w:kern w:val="0"/>
                <w:sz w:val="22"/>
                <w:szCs w:val="22"/>
                <w:highlight w:val="none"/>
                <w:lang w:bidi="ar"/>
              </w:rPr>
              <w:t>灌南县政府门户网站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hint="default" w:eastAsia="仿宋_GB2312"/>
                <w:color w:val="000000"/>
                <w:kern w:val="0"/>
                <w:szCs w:val="21"/>
                <w:highlight w:val="none"/>
                <w:lang w:val="en-US" w:eastAsia="zh-CN" w:bidi="ar"/>
              </w:rPr>
            </w:pPr>
            <w:r>
              <w:rPr>
                <w:rFonts w:hint="eastAsia" w:eastAsia="仿宋_GB2312"/>
                <w:color w:val="000000"/>
                <w:kern w:val="0"/>
                <w:szCs w:val="21"/>
                <w:highlight w:val="none"/>
                <w:lang w:val="en-US" w:eastAsia="zh-CN" w:bidi="ar"/>
              </w:rPr>
              <w:t>34</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kern w:val="44"/>
                <w:sz w:val="22"/>
                <w:szCs w:val="22"/>
                <w:highlight w:val="none"/>
                <w:shd w:val="clear" w:color="auto" w:fill="FFFFFF"/>
                <w:lang w:bidi="ar"/>
              </w:rPr>
              <w:t>社会团体成立登记</w:t>
            </w:r>
            <w:r>
              <w:rPr>
                <w:rFonts w:hint="eastAsia" w:ascii="宋体" w:hAnsi="宋体" w:eastAsia="宋体" w:cs="宋体"/>
                <w:color w:val="auto"/>
                <w:sz w:val="22"/>
                <w:szCs w:val="22"/>
                <w:highlight w:val="none"/>
              </w:rPr>
              <w:t>、变更、注销登记</w:t>
            </w:r>
          </w:p>
        </w:tc>
        <w:tc>
          <w:tcPr>
            <w:tcW w:w="6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仿宋_GB2312"/>
                <w:color w:val="000000"/>
                <w:szCs w:val="21"/>
                <w:highlight w:val="none"/>
                <w:lang w:eastAsia="zh-CN"/>
              </w:rPr>
            </w:pPr>
            <w:r>
              <w:rPr>
                <w:rFonts w:hint="eastAsia" w:eastAsia="仿宋_GB2312"/>
                <w:color w:val="000000"/>
                <w:szCs w:val="21"/>
                <w:highlight w:val="none"/>
                <w:lang w:eastAsia="zh-CN"/>
              </w:rPr>
              <w:t>成立登记</w:t>
            </w:r>
          </w:p>
        </w:tc>
        <w:tc>
          <w:tcPr>
            <w:tcW w:w="25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办事指南，包括： 适用范围、事项审查类型、办理依据、受理机构、决定机构、办理条件、申请材料、申请接收、办理基本流程、办理方式、审批时限、审批收费依据及标准、审批结果、结果送达、申请人权利和义务、咨询途径、监督和投诉渠道、办公地址和时间、公开查询方式等</w:t>
            </w:r>
          </w:p>
        </w:tc>
        <w:tc>
          <w:tcPr>
            <w:tcW w:w="2520" w:type="dxa"/>
            <w:noWrap w:val="0"/>
            <w:tcMar>
              <w:top w:w="15" w:type="dxa"/>
              <w:left w:w="15" w:type="dxa"/>
              <w:right w:w="15" w:type="dxa"/>
            </w:tcMar>
            <w:vAlign w:val="center"/>
          </w:tcPr>
          <w:p>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exact"/>
              <w:jc w:val="both"/>
              <w:rPr>
                <w:rFonts w:hint="eastAsia" w:ascii="宋体" w:hAnsi="宋体" w:eastAsia="宋体" w:cs="宋体"/>
                <w:color w:val="auto"/>
                <w:kern w:val="2"/>
                <w:sz w:val="22"/>
                <w:szCs w:val="22"/>
                <w:highlight w:val="none"/>
                <w:shd w:val="clear" w:color="auto" w:fill="FFFFFF"/>
              </w:rPr>
            </w:pPr>
            <w:r>
              <w:rPr>
                <w:rFonts w:hint="eastAsia" w:ascii="宋体" w:hAnsi="宋体" w:eastAsia="宋体" w:cs="宋体"/>
                <w:color w:val="auto"/>
                <w:kern w:val="2"/>
                <w:sz w:val="22"/>
                <w:szCs w:val="22"/>
                <w:highlight w:val="none"/>
                <w:shd w:val="clear" w:color="auto" w:fill="FFFFFF"/>
              </w:rPr>
              <w:t>《社会团体登记管理条例》（国务院令第250号发布，第666号修改） </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p>
        </w:tc>
        <w:tc>
          <w:tcPr>
            <w:tcW w:w="25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自信息形成起10个工作日内予以公开</w:t>
            </w:r>
          </w:p>
        </w:tc>
        <w:tc>
          <w:tcPr>
            <w:tcW w:w="67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2"/>
                <w:szCs w:val="22"/>
                <w:highlight w:val="none"/>
                <w:lang w:bidi="zh-CN"/>
              </w:rPr>
            </w:pPr>
            <w:r>
              <w:rPr>
                <w:rFonts w:hint="eastAsia" w:ascii="宋体" w:hAnsi="宋体" w:eastAsia="宋体" w:cs="宋体"/>
                <w:color w:val="auto"/>
                <w:sz w:val="22"/>
                <w:szCs w:val="22"/>
                <w:highlight w:val="none"/>
                <w:lang w:val="zh-CN" w:bidi="zh-CN"/>
              </w:rPr>
              <w:t>灌南行政审批局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仿宋_GB2312"/>
                <w:color w:val="000000"/>
                <w:szCs w:val="21"/>
                <w:highlight w:val="none"/>
                <w:lang w:eastAsia="zh-CN"/>
              </w:rPr>
            </w:pPr>
            <w:r>
              <w:rPr>
                <w:rFonts w:hint="eastAsia" w:ascii="宋体" w:hAnsi="宋体" w:eastAsia="宋体" w:cs="宋体"/>
                <w:color w:val="auto"/>
                <w:sz w:val="22"/>
                <w:szCs w:val="22"/>
                <w:highlight w:val="none"/>
                <w:lang w:bidi="zh-CN"/>
              </w:rPr>
              <w:t>社会审批科</w:t>
            </w:r>
          </w:p>
        </w:tc>
        <w:tc>
          <w:tcPr>
            <w:tcW w:w="70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kern w:val="0"/>
                <w:sz w:val="22"/>
                <w:szCs w:val="22"/>
                <w:highlight w:val="none"/>
                <w:lang w:bidi="ar"/>
              </w:rPr>
              <w:t>√</w:t>
            </w:r>
          </w:p>
        </w:tc>
        <w:tc>
          <w:tcPr>
            <w:tcW w:w="7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kern w:val="0"/>
                <w:sz w:val="22"/>
                <w:szCs w:val="22"/>
                <w:highlight w:val="none"/>
                <w:lang w:bidi="ar"/>
              </w:rPr>
              <w:t>√</w:t>
            </w:r>
          </w:p>
        </w:tc>
        <w:tc>
          <w:tcPr>
            <w:tcW w:w="52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szCs w:val="21"/>
                <w:highlight w:val="none"/>
              </w:rPr>
            </w:pPr>
          </w:p>
        </w:tc>
        <w:tc>
          <w:tcPr>
            <w:tcW w:w="124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仿宋_GB2312"/>
                <w:color w:val="000000"/>
                <w:kern w:val="0"/>
                <w:szCs w:val="21"/>
                <w:highlight w:val="none"/>
                <w:lang w:eastAsia="zh-CN" w:bidi="ar"/>
              </w:rPr>
            </w:pPr>
            <w:r>
              <w:rPr>
                <w:rFonts w:hint="eastAsia" w:ascii="宋体" w:hAnsi="宋体" w:eastAsia="宋体" w:cs="宋体"/>
                <w:color w:val="auto"/>
                <w:sz w:val="22"/>
                <w:szCs w:val="22"/>
                <w:highlight w:val="none"/>
                <w:lang w:val="zh-CN" w:bidi="zh-CN"/>
              </w:rPr>
              <w:t>灌南县政府门户网站</w:t>
            </w:r>
          </w:p>
        </w:tc>
      </w:tr>
      <w:tr>
        <w:tblPrEx>
          <w:tblBorders>
            <w:top w:val="single" w:color="000000" w:sz="4" w:space="0"/>
            <w:left w:val="single" w:color="000000" w:sz="8" w:space="0"/>
            <w:bottom w:val="single" w:color="000000" w:sz="4" w:space="0"/>
            <w:right w:val="single" w:color="000000" w:sz="8" w:space="0"/>
            <w:insideH w:val="single" w:color="000000" w:sz="8" w:space="0"/>
            <w:insideV w:val="single" w:color="000000" w:sz="8" w:space="0"/>
          </w:tblBorders>
          <w:tblCellMar>
            <w:top w:w="0" w:type="dxa"/>
            <w:left w:w="0" w:type="dxa"/>
            <w:bottom w:w="0" w:type="dxa"/>
            <w:right w:w="0" w:type="dxa"/>
          </w:tblCellMar>
        </w:tblPrEx>
        <w:trPr>
          <w:jc w:val="center"/>
        </w:trPr>
        <w:tc>
          <w:tcPr>
            <w:tcW w:w="413" w:type="dxa"/>
            <w:noWrap w:val="0"/>
            <w:tcMar>
              <w:top w:w="15" w:type="dxa"/>
              <w:left w:w="15" w:type="dxa"/>
              <w:right w:w="15" w:type="dxa"/>
            </w:tcMar>
            <w:vAlign w:val="center"/>
          </w:tcPr>
          <w:p>
            <w:pPr>
              <w:widowControl/>
              <w:spacing w:line="250" w:lineRule="exact"/>
              <w:jc w:val="center"/>
              <w:textAlignment w:val="center"/>
              <w:rPr>
                <w:rFonts w:hint="default" w:eastAsia="仿宋_GB2312"/>
                <w:color w:val="000000"/>
                <w:kern w:val="0"/>
                <w:szCs w:val="21"/>
                <w:highlight w:val="none"/>
                <w:lang w:val="en-US" w:eastAsia="zh-CN" w:bidi="ar"/>
              </w:rPr>
            </w:pPr>
            <w:r>
              <w:rPr>
                <w:rFonts w:hint="eastAsia" w:eastAsia="仿宋_GB2312"/>
                <w:color w:val="000000"/>
                <w:kern w:val="0"/>
                <w:szCs w:val="21"/>
                <w:highlight w:val="none"/>
                <w:lang w:val="en-US" w:eastAsia="zh-CN" w:bidi="ar"/>
              </w:rPr>
              <w:t>35</w:t>
            </w:r>
          </w:p>
        </w:tc>
        <w:tc>
          <w:tcPr>
            <w:tcW w:w="615" w:type="dxa"/>
            <w:vMerge w:val="continue"/>
            <w:noWrap w:val="0"/>
            <w:tcMar>
              <w:top w:w="15" w:type="dxa"/>
              <w:left w:w="15" w:type="dxa"/>
              <w:right w:w="15" w:type="dxa"/>
            </w:tcMar>
            <w:vAlign w:val="center"/>
          </w:tcPr>
          <w:p>
            <w:pPr>
              <w:widowControl/>
              <w:spacing w:line="250" w:lineRule="exact"/>
              <w:jc w:val="center"/>
              <w:rPr>
                <w:rFonts w:eastAsia="仿宋_GB2312"/>
                <w:color w:val="000000"/>
                <w:szCs w:val="21"/>
                <w:highlight w:val="none"/>
              </w:rPr>
            </w:pPr>
          </w:p>
        </w:tc>
        <w:tc>
          <w:tcPr>
            <w:tcW w:w="57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地名命名、更名、登记审批</w:t>
            </w:r>
          </w:p>
        </w:tc>
        <w:tc>
          <w:tcPr>
            <w:tcW w:w="61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szCs w:val="21"/>
                <w:highlight w:val="none"/>
              </w:rPr>
            </w:pPr>
          </w:p>
        </w:tc>
        <w:tc>
          <w:tcPr>
            <w:tcW w:w="253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办事指南，包括： 适用范围、事项审查类型、办理依据、受理机构、决定机构、办理条件、申请材料、申请接收、办理基本流程、办理方式、审批时限、审批收费依据及标准、审批结果、结果送达、申请人权利和义务、咨询途径、监督和投诉渠道、办公地址和时间、公开查询方式等</w:t>
            </w:r>
          </w:p>
        </w:tc>
        <w:tc>
          <w:tcPr>
            <w:tcW w:w="25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【行政法规】《地名管理条例》（国发[1986]11号）</w:t>
            </w:r>
          </w:p>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【地方性法规】《江苏省地名管理条例》</w:t>
            </w:r>
          </w:p>
        </w:tc>
        <w:tc>
          <w:tcPr>
            <w:tcW w:w="25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kern w:val="0"/>
                <w:szCs w:val="21"/>
                <w:highlight w:val="none"/>
                <w:lang w:bidi="ar"/>
              </w:rPr>
            </w:pPr>
            <w:r>
              <w:rPr>
                <w:rFonts w:hint="eastAsia" w:ascii="宋体" w:hAnsi="宋体" w:eastAsia="宋体" w:cs="宋体"/>
                <w:color w:val="auto"/>
                <w:sz w:val="22"/>
                <w:szCs w:val="22"/>
                <w:highlight w:val="none"/>
              </w:rPr>
              <w:t>自信息形成起10个工作日内予以公开</w:t>
            </w:r>
          </w:p>
        </w:tc>
        <w:tc>
          <w:tcPr>
            <w:tcW w:w="67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auto"/>
                <w:sz w:val="22"/>
                <w:szCs w:val="22"/>
                <w:highlight w:val="none"/>
                <w:lang w:bidi="zh-CN"/>
              </w:rPr>
            </w:pPr>
            <w:r>
              <w:rPr>
                <w:rFonts w:hint="eastAsia" w:ascii="宋体" w:hAnsi="宋体" w:eastAsia="宋体" w:cs="宋体"/>
                <w:color w:val="auto"/>
                <w:sz w:val="22"/>
                <w:szCs w:val="22"/>
                <w:highlight w:val="none"/>
                <w:lang w:val="zh-CN" w:bidi="zh-CN"/>
              </w:rPr>
              <w:t>灌南行政审批局</w:t>
            </w:r>
          </w:p>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仿宋_GB2312"/>
                <w:color w:val="000000"/>
                <w:szCs w:val="21"/>
                <w:highlight w:val="none"/>
                <w:lang w:eastAsia="zh-CN"/>
              </w:rPr>
            </w:pPr>
            <w:r>
              <w:rPr>
                <w:rFonts w:hint="eastAsia" w:ascii="宋体" w:hAnsi="宋体" w:eastAsia="宋体" w:cs="宋体"/>
                <w:color w:val="auto"/>
                <w:sz w:val="22"/>
                <w:szCs w:val="22"/>
                <w:highlight w:val="none"/>
                <w:lang w:bidi="zh-CN"/>
              </w:rPr>
              <w:t>社会审批科</w:t>
            </w:r>
          </w:p>
        </w:tc>
        <w:tc>
          <w:tcPr>
            <w:tcW w:w="70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kern w:val="0"/>
                <w:sz w:val="22"/>
                <w:szCs w:val="22"/>
                <w:highlight w:val="none"/>
                <w:lang w:bidi="ar"/>
              </w:rPr>
              <w:t>√</w:t>
            </w:r>
          </w:p>
        </w:tc>
        <w:tc>
          <w:tcPr>
            <w:tcW w:w="720"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eastAsia="仿宋_GB2312"/>
                <w:color w:val="000000"/>
                <w:szCs w:val="21"/>
                <w:highlight w:val="none"/>
              </w:rPr>
            </w:pPr>
          </w:p>
        </w:tc>
        <w:tc>
          <w:tcPr>
            <w:tcW w:w="79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eastAsia="仿宋_GB2312"/>
                <w:color w:val="000000"/>
                <w:kern w:val="0"/>
                <w:szCs w:val="21"/>
                <w:highlight w:val="none"/>
                <w:lang w:bidi="ar"/>
              </w:rPr>
            </w:pPr>
            <w:r>
              <w:rPr>
                <w:rFonts w:hint="eastAsia" w:ascii="宋体" w:hAnsi="宋体" w:eastAsia="宋体" w:cs="宋体"/>
                <w:color w:val="auto"/>
                <w:kern w:val="0"/>
                <w:sz w:val="22"/>
                <w:szCs w:val="22"/>
                <w:highlight w:val="none"/>
                <w:lang w:bidi="ar"/>
              </w:rPr>
              <w:t>√</w:t>
            </w:r>
          </w:p>
        </w:tc>
        <w:tc>
          <w:tcPr>
            <w:tcW w:w="525"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center"/>
              <w:rPr>
                <w:rFonts w:eastAsia="仿宋_GB2312"/>
                <w:color w:val="000000"/>
                <w:szCs w:val="21"/>
                <w:highlight w:val="none"/>
              </w:rPr>
            </w:pPr>
          </w:p>
        </w:tc>
        <w:tc>
          <w:tcPr>
            <w:tcW w:w="1249" w:type="dxa"/>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eastAsia="仿宋_GB2312"/>
                <w:color w:val="000000"/>
                <w:kern w:val="0"/>
                <w:szCs w:val="21"/>
                <w:highlight w:val="none"/>
                <w:lang w:eastAsia="zh-CN" w:bidi="ar"/>
              </w:rPr>
            </w:pPr>
            <w:r>
              <w:rPr>
                <w:rFonts w:hint="eastAsia" w:ascii="宋体" w:hAnsi="宋体" w:eastAsia="宋体" w:cs="宋体"/>
                <w:color w:val="auto"/>
                <w:sz w:val="22"/>
                <w:szCs w:val="22"/>
                <w:highlight w:val="none"/>
                <w:lang w:val="zh-CN" w:bidi="zh-CN"/>
              </w:rPr>
              <w:t>灌南县政府门户网站</w:t>
            </w:r>
          </w:p>
        </w:tc>
      </w:tr>
    </w:tbl>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Cs w:val="21"/>
        </w:rPr>
      </w:pPr>
    </w:p>
    <w:p>
      <w:pPr>
        <w:tabs>
          <w:tab w:val="left" w:pos="7811"/>
        </w:tabs>
        <w:spacing w:line="20" w:lineRule="exact"/>
        <w:rPr>
          <w:rFonts w:hint="eastAsia" w:ascii="仿宋_GB2312" w:eastAsia="仿宋_GB2312"/>
          <w:sz w:val="30"/>
          <w:szCs w:val="30"/>
        </w:rPr>
      </w:pPr>
    </w:p>
    <w:p/>
    <w:p/>
    <w:p/>
    <w:p/>
    <w:p/>
    <w:p/>
    <w:p/>
    <w:p/>
    <w:p/>
    <w:p>
      <w:pPr>
        <w:rPr>
          <w:rFonts w:hint="eastAsia"/>
          <w:lang w:val="en-US" w:eastAsia="zh-CN"/>
        </w:rPr>
        <w:sectPr>
          <w:footerReference r:id="rId3" w:type="default"/>
          <w:pgSz w:w="16838" w:h="11906" w:orient="landscape"/>
          <w:pgMar w:top="1418" w:right="1418" w:bottom="1418" w:left="1418" w:header="1134" w:footer="1134" w:gutter="0"/>
          <w:pgNumType w:start="1"/>
          <w:cols w:space="720" w:num="1"/>
          <w:docGrid w:type="lines" w:linePitch="312" w:charSpace="0"/>
        </w:sectPr>
      </w:pPr>
    </w:p>
    <w:p>
      <w:pPr>
        <w:rPr>
          <w:rFonts w:hint="eastAsia"/>
          <w:lang w:val="en-US" w:eastAsia="zh-CN"/>
        </w:rPr>
      </w:pPr>
      <w:r>
        <w:rPr>
          <w:rFonts w:hint="eastAsia"/>
          <w:lang w:val="en-US" w:eastAsia="zh-CN"/>
        </w:rPr>
        <w:t>第26项公共服务事项清单补充内容：</w:t>
      </w:r>
    </w:p>
    <w:tbl>
      <w:tblPr>
        <w:tblStyle w:val="5"/>
        <w:tblW w:w="0" w:type="auto"/>
        <w:jc w:val="center"/>
        <w:tblLayout w:type="fixed"/>
        <w:tblCellMar>
          <w:top w:w="0" w:type="dxa"/>
          <w:left w:w="10" w:type="dxa"/>
          <w:bottom w:w="0" w:type="dxa"/>
          <w:right w:w="10" w:type="dxa"/>
        </w:tblCellMar>
      </w:tblPr>
      <w:tblGrid>
        <w:gridCol w:w="562"/>
        <w:gridCol w:w="1157"/>
        <w:gridCol w:w="1814"/>
        <w:gridCol w:w="917"/>
        <w:gridCol w:w="3936"/>
        <w:gridCol w:w="1142"/>
      </w:tblGrid>
      <w:tr>
        <w:tblPrEx>
          <w:tblCellMar>
            <w:top w:w="0" w:type="dxa"/>
            <w:left w:w="10" w:type="dxa"/>
            <w:bottom w:w="0" w:type="dxa"/>
            <w:right w:w="10" w:type="dxa"/>
          </w:tblCellMar>
        </w:tblPrEx>
        <w:trPr>
          <w:trHeight w:val="797"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序号</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基本编码</w:t>
            </w: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firstLineChars="0"/>
              <w:jc w:val="center"/>
              <w:textAlignment w:val="auto"/>
              <w:rPr>
                <w:sz w:val="18"/>
                <w:szCs w:val="18"/>
              </w:rPr>
            </w:pPr>
            <w:r>
              <w:rPr>
                <w:b/>
                <w:bCs/>
                <w:color w:val="000000"/>
                <w:spacing w:val="0"/>
                <w:w w:val="100"/>
                <w:position w:val="0"/>
                <w:sz w:val="18"/>
                <w:szCs w:val="18"/>
              </w:rPr>
              <w:t>权限名称</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9" w:lineRule="exact"/>
              <w:ind w:left="0" w:leftChars="0" w:right="0" w:firstLine="0" w:firstLineChars="0"/>
              <w:jc w:val="center"/>
              <w:textAlignment w:val="auto"/>
              <w:rPr>
                <w:sz w:val="18"/>
                <w:szCs w:val="18"/>
              </w:rPr>
            </w:pPr>
            <w:r>
              <w:rPr>
                <w:b/>
                <w:bCs/>
                <w:color w:val="000000"/>
                <w:spacing w:val="0"/>
                <w:w w:val="100"/>
                <w:position w:val="0"/>
                <w:sz w:val="18"/>
                <w:szCs w:val="18"/>
              </w:rPr>
              <w:t>权力类型</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设定依据</w:t>
            </w:r>
          </w:p>
        </w:tc>
        <w:tc>
          <w:tcPr>
            <w:tcW w:w="1142" w:type="dxa"/>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所属部门</w:t>
            </w:r>
          </w:p>
        </w:tc>
      </w:tr>
      <w:tr>
        <w:tblPrEx>
          <w:tblCellMar>
            <w:top w:w="0" w:type="dxa"/>
            <w:left w:w="10" w:type="dxa"/>
            <w:bottom w:w="0" w:type="dxa"/>
            <w:right w:w="10" w:type="dxa"/>
          </w:tblCellMar>
        </w:tblPrEx>
        <w:trPr>
          <w:trHeight w:val="782"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500026000</w:t>
            </w: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0" w:lineRule="exact"/>
              <w:ind w:left="0" w:right="0" w:firstLine="0"/>
              <w:jc w:val="center"/>
              <w:textAlignment w:val="auto"/>
              <w:rPr>
                <w:sz w:val="18"/>
                <w:szCs w:val="18"/>
              </w:rPr>
            </w:pPr>
            <w:r>
              <w:rPr>
                <w:color w:val="000000"/>
                <w:spacing w:val="0"/>
                <w:w w:val="100"/>
                <w:position w:val="0"/>
                <w:sz w:val="18"/>
                <w:szCs w:val="18"/>
              </w:rPr>
              <w:t>城乡居民最低生活保障的给付</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行政给付</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《社会救助暂行办法》（国务院令第</w:t>
            </w:r>
            <w:r>
              <w:rPr>
                <w:rFonts w:ascii="Times New Roman" w:hAnsi="Times New Roman" w:eastAsia="Times New Roman" w:cs="Times New Roman"/>
                <w:color w:val="000000"/>
                <w:spacing w:val="0"/>
                <w:w w:val="100"/>
                <w:position w:val="0"/>
                <w:sz w:val="20"/>
                <w:szCs w:val="20"/>
              </w:rPr>
              <w:t>649</w:t>
            </w:r>
            <w:r>
              <w:rPr>
                <w:color w:val="000000"/>
                <w:spacing w:val="0"/>
                <w:w w:val="100"/>
                <w:position w:val="0"/>
                <w:sz w:val="18"/>
                <w:szCs w:val="18"/>
              </w:rPr>
              <w:t>号）</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《江苏省社会救助办法》（省政府令第</w:t>
            </w:r>
            <w:r>
              <w:rPr>
                <w:rFonts w:ascii="Times New Roman" w:hAnsi="Times New Roman" w:eastAsia="Times New Roman" w:cs="Times New Roman"/>
                <w:color w:val="000000"/>
                <w:spacing w:val="0"/>
                <w:w w:val="100"/>
                <w:position w:val="0"/>
                <w:sz w:val="20"/>
                <w:szCs w:val="20"/>
              </w:rPr>
              <w:t>99</w:t>
            </w:r>
            <w:r>
              <w:rPr>
                <w:color w:val="000000"/>
                <w:spacing w:val="0"/>
                <w:w w:val="100"/>
                <w:position w:val="0"/>
                <w:sz w:val="18"/>
                <w:szCs w:val="18"/>
              </w:rPr>
              <w:t>号）</w:t>
            </w:r>
          </w:p>
        </w:tc>
        <w:tc>
          <w:tcPr>
            <w:tcW w:w="1142"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民政局</w:t>
            </w:r>
            <w:r>
              <w:rPr>
                <w:rFonts w:ascii="Times New Roman" w:hAnsi="Times New Roman" w:eastAsia="Times New Roman" w:cs="Times New Roman"/>
                <w:color w:val="000000"/>
                <w:spacing w:val="0"/>
                <w:w w:val="100"/>
                <w:position w:val="0"/>
                <w:sz w:val="20"/>
                <w:szCs w:val="20"/>
              </w:rPr>
              <w:t>（5</w:t>
            </w:r>
            <w:r>
              <w:rPr>
                <w:color w:val="000000"/>
                <w:spacing w:val="0"/>
                <w:w w:val="100"/>
                <w:position w:val="0"/>
                <w:sz w:val="18"/>
                <w:szCs w:val="18"/>
              </w:rPr>
              <w:t>项）</w:t>
            </w:r>
          </w:p>
        </w:tc>
      </w:tr>
      <w:tr>
        <w:tblPrEx>
          <w:tblCellMar>
            <w:top w:w="0" w:type="dxa"/>
            <w:left w:w="10" w:type="dxa"/>
            <w:bottom w:w="0" w:type="dxa"/>
            <w:right w:w="10" w:type="dxa"/>
          </w:tblCellMar>
        </w:tblPrEx>
        <w:trPr>
          <w:trHeight w:val="787"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500028000</w:t>
            </w: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9" w:lineRule="exact"/>
              <w:ind w:left="0" w:right="0" w:firstLine="0"/>
              <w:jc w:val="center"/>
              <w:textAlignment w:val="auto"/>
              <w:rPr>
                <w:sz w:val="18"/>
                <w:szCs w:val="18"/>
              </w:rPr>
            </w:pPr>
            <w:r>
              <w:rPr>
                <w:color w:val="000000"/>
                <w:spacing w:val="0"/>
                <w:w w:val="100"/>
                <w:position w:val="0"/>
                <w:sz w:val="18"/>
                <w:szCs w:val="18"/>
              </w:rPr>
              <w:t>临时救助对象认定、救助金给付</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行政给付</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《社会救助暂行办法》（国务院令第</w:t>
            </w:r>
            <w:r>
              <w:rPr>
                <w:rFonts w:ascii="Times New Roman" w:hAnsi="Times New Roman" w:eastAsia="Times New Roman" w:cs="Times New Roman"/>
                <w:color w:val="000000"/>
                <w:spacing w:val="0"/>
                <w:w w:val="100"/>
                <w:position w:val="0"/>
                <w:sz w:val="20"/>
                <w:szCs w:val="20"/>
              </w:rPr>
              <w:t>649</w:t>
            </w:r>
            <w:r>
              <w:rPr>
                <w:color w:val="000000"/>
                <w:spacing w:val="0"/>
                <w:w w:val="100"/>
                <w:position w:val="0"/>
                <w:sz w:val="18"/>
                <w:szCs w:val="18"/>
              </w:rPr>
              <w:t>号）</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《江苏省社会救助办法》（省政府令第</w:t>
            </w:r>
            <w:r>
              <w:rPr>
                <w:rFonts w:ascii="Times New Roman" w:hAnsi="Times New Roman" w:eastAsia="Times New Roman" w:cs="Times New Roman"/>
                <w:color w:val="000000"/>
                <w:spacing w:val="0"/>
                <w:w w:val="100"/>
                <w:position w:val="0"/>
                <w:sz w:val="20"/>
                <w:szCs w:val="20"/>
              </w:rPr>
              <w:t>99</w:t>
            </w:r>
            <w:r>
              <w:rPr>
                <w:color w:val="000000"/>
                <w:spacing w:val="0"/>
                <w:w w:val="100"/>
                <w:position w:val="0"/>
                <w:sz w:val="18"/>
                <w:szCs w:val="18"/>
              </w:rPr>
              <w:t>号）</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403"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3</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500035000</w:t>
            </w: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firstLineChars="0"/>
              <w:jc w:val="center"/>
              <w:textAlignment w:val="auto"/>
              <w:rPr>
                <w:sz w:val="18"/>
                <w:szCs w:val="18"/>
              </w:rPr>
            </w:pPr>
            <w:r>
              <w:rPr>
                <w:color w:val="000000"/>
                <w:spacing w:val="0"/>
                <w:w w:val="100"/>
                <w:position w:val="0"/>
                <w:sz w:val="18"/>
                <w:szCs w:val="18"/>
              </w:rPr>
              <w:t>特困人员供养</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行政给付</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《社会救助暂行办法》（国务院令第</w:t>
            </w:r>
            <w:r>
              <w:rPr>
                <w:rFonts w:ascii="Times New Roman" w:hAnsi="Times New Roman" w:eastAsia="Times New Roman" w:cs="Times New Roman"/>
                <w:color w:val="000000"/>
                <w:spacing w:val="0"/>
                <w:w w:val="100"/>
                <w:position w:val="0"/>
                <w:sz w:val="20"/>
                <w:szCs w:val="20"/>
              </w:rPr>
              <w:t>649</w:t>
            </w:r>
            <w:r>
              <w:rPr>
                <w:color w:val="000000"/>
                <w:spacing w:val="0"/>
                <w:w w:val="100"/>
                <w:position w:val="0"/>
                <w:sz w:val="18"/>
                <w:szCs w:val="18"/>
              </w:rPr>
              <w:t>号）</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767"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4</w:t>
            </w:r>
          </w:p>
        </w:tc>
        <w:tc>
          <w:tcPr>
            <w:tcW w:w="115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sz w:val="10"/>
                <w:szCs w:val="10"/>
              </w:rPr>
            </w:pP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leftChars="0" w:right="0" w:firstLine="0" w:firstLineChars="0"/>
              <w:jc w:val="center"/>
              <w:textAlignment w:val="auto"/>
              <w:rPr>
                <w:sz w:val="18"/>
                <w:szCs w:val="18"/>
              </w:rPr>
            </w:pPr>
            <w:r>
              <w:rPr>
                <w:color w:val="000000"/>
                <w:spacing w:val="0"/>
                <w:w w:val="100"/>
                <w:position w:val="0"/>
                <w:sz w:val="18"/>
                <w:szCs w:val="18"/>
              </w:rPr>
              <w:t>办理五保供养证</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公共服务</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《农村五保供养工作条例》（国务院令第</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 xml:space="preserve">456 </w:t>
            </w:r>
            <w:r>
              <w:rPr>
                <w:color w:val="000000"/>
                <w:spacing w:val="0"/>
                <w:w w:val="100"/>
                <w:position w:val="0"/>
                <w:sz w:val="18"/>
                <w:szCs w:val="18"/>
              </w:rPr>
              <w:t>号</w:t>
            </w:r>
            <w:r>
              <w:rPr>
                <w:rFonts w:ascii="Times New Roman" w:hAnsi="Times New Roman" w:eastAsia="Times New Roman" w:cs="Times New Roman"/>
                <w:color w:val="000000"/>
                <w:spacing w:val="0"/>
                <w:w w:val="100"/>
                <w:position w:val="0"/>
                <w:sz w:val="20"/>
                <w:szCs w:val="20"/>
              </w:rPr>
              <w:t>）</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782"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5</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500030000</w:t>
            </w: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94" w:lineRule="exact"/>
              <w:ind w:left="0" w:right="0" w:firstLine="0"/>
              <w:jc w:val="center"/>
              <w:textAlignment w:val="auto"/>
              <w:rPr>
                <w:sz w:val="18"/>
                <w:szCs w:val="18"/>
              </w:rPr>
            </w:pPr>
            <w:r>
              <w:rPr>
                <w:rFonts w:ascii="Times New Roman" w:hAnsi="Times New Roman" w:eastAsia="Times New Roman" w:cs="Times New Roman"/>
                <w:color w:val="000000"/>
                <w:spacing w:val="0"/>
                <w:w w:val="100"/>
                <w:position w:val="0"/>
                <w:sz w:val="20"/>
                <w:szCs w:val="20"/>
              </w:rPr>
              <w:t>80</w:t>
            </w:r>
            <w:r>
              <w:rPr>
                <w:color w:val="000000"/>
                <w:spacing w:val="0"/>
                <w:w w:val="100"/>
                <w:position w:val="0"/>
                <w:sz w:val="18"/>
                <w:szCs w:val="18"/>
              </w:rPr>
              <w:t>周岁以上老年人尊老金的发放</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行政给付</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9" w:lineRule="exact"/>
              <w:ind w:left="0" w:right="0" w:firstLine="0"/>
              <w:jc w:val="center"/>
              <w:textAlignment w:val="auto"/>
              <w:rPr>
                <w:sz w:val="18"/>
                <w:szCs w:val="18"/>
              </w:rPr>
            </w:pPr>
            <w:r>
              <w:rPr>
                <w:color w:val="000000"/>
                <w:spacing w:val="0"/>
                <w:w w:val="100"/>
                <w:position w:val="0"/>
                <w:sz w:val="18"/>
                <w:szCs w:val="18"/>
              </w:rPr>
              <w:t>《中华人民共和国老年人权益保障法》《江苏省老年人权益保障条例》</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1162"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6</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700097000</w:t>
            </w: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集体合同审查</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其他</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7" w:lineRule="exact"/>
              <w:ind w:left="0" w:right="0" w:firstLine="0"/>
              <w:jc w:val="center"/>
              <w:textAlignment w:val="auto"/>
              <w:rPr>
                <w:sz w:val="18"/>
                <w:szCs w:val="18"/>
              </w:rPr>
            </w:pPr>
            <w:r>
              <w:rPr>
                <w:color w:val="000000"/>
                <w:spacing w:val="0"/>
                <w:w w:val="100"/>
                <w:position w:val="0"/>
                <w:sz w:val="18"/>
                <w:szCs w:val="18"/>
              </w:rPr>
              <w:t>《中华人民共和国劳动法》《中华人民共和国劳动合同法》《江苏省集体合同条例》《集体合同规定》</w:t>
            </w:r>
            <w:r>
              <w:rPr>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t>2004</w:t>
            </w:r>
            <w:r>
              <w:rPr>
                <w:color w:val="000000"/>
                <w:spacing w:val="0"/>
                <w:w w:val="100"/>
                <w:position w:val="0"/>
                <w:sz w:val="18"/>
                <w:szCs w:val="18"/>
              </w:rPr>
              <w:t>年劳动保障部令第</w:t>
            </w:r>
            <w:r>
              <w:rPr>
                <w:rFonts w:ascii="Times New Roman" w:hAnsi="Times New Roman" w:eastAsia="Times New Roman" w:cs="Times New Roman"/>
                <w:color w:val="000000"/>
                <w:spacing w:val="0"/>
                <w:w w:val="100"/>
                <w:position w:val="0"/>
                <w:sz w:val="20"/>
                <w:szCs w:val="20"/>
              </w:rPr>
              <w:t>22</w:t>
            </w:r>
            <w:r>
              <w:rPr>
                <w:color w:val="000000"/>
                <w:spacing w:val="0"/>
                <w:w w:val="100"/>
                <w:position w:val="0"/>
                <w:sz w:val="18"/>
                <w:szCs w:val="18"/>
              </w:rPr>
              <w:t>号）</w:t>
            </w:r>
          </w:p>
        </w:tc>
        <w:tc>
          <w:tcPr>
            <w:tcW w:w="1142"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人社局</w:t>
            </w:r>
            <w:r>
              <w:rPr>
                <w:rFonts w:ascii="Times New Roman" w:hAnsi="Times New Roman" w:eastAsia="Times New Roman" w:cs="Times New Roman"/>
                <w:color w:val="000000"/>
                <w:spacing w:val="0"/>
                <w:w w:val="100"/>
                <w:position w:val="0"/>
                <w:sz w:val="20"/>
                <w:szCs w:val="20"/>
              </w:rPr>
              <w:t>（4</w:t>
            </w:r>
            <w:r>
              <w:rPr>
                <w:color w:val="000000"/>
                <w:spacing w:val="0"/>
                <w:w w:val="100"/>
                <w:position w:val="0"/>
                <w:sz w:val="18"/>
                <w:szCs w:val="18"/>
              </w:rPr>
              <w:t>项）</w:t>
            </w:r>
          </w:p>
        </w:tc>
      </w:tr>
      <w:tr>
        <w:tblPrEx>
          <w:tblCellMar>
            <w:top w:w="0" w:type="dxa"/>
            <w:left w:w="10" w:type="dxa"/>
            <w:bottom w:w="0" w:type="dxa"/>
            <w:right w:w="10" w:type="dxa"/>
          </w:tblCellMar>
        </w:tblPrEx>
        <w:trPr>
          <w:trHeight w:val="528"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7</w:t>
            </w:r>
          </w:p>
        </w:tc>
        <w:tc>
          <w:tcPr>
            <w:tcW w:w="115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sz w:val="10"/>
                <w:szCs w:val="10"/>
              </w:rPr>
            </w:pP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社会保险申报结算</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公共服务</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《中华人民共和国社会保险法》</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494"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8</w:t>
            </w:r>
          </w:p>
        </w:tc>
        <w:tc>
          <w:tcPr>
            <w:tcW w:w="115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sz w:val="10"/>
                <w:szCs w:val="10"/>
              </w:rPr>
            </w:pP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社保证明</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公共服务</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《中华人民共和国社会保险法》</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787"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9</w:t>
            </w:r>
          </w:p>
        </w:tc>
        <w:tc>
          <w:tcPr>
            <w:tcW w:w="115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sz w:val="10"/>
                <w:szCs w:val="10"/>
              </w:rPr>
            </w:pP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84" w:lineRule="exact"/>
              <w:ind w:left="0" w:right="0" w:firstLine="0"/>
              <w:jc w:val="center"/>
              <w:textAlignment w:val="auto"/>
              <w:rPr>
                <w:sz w:val="18"/>
                <w:szCs w:val="18"/>
              </w:rPr>
            </w:pPr>
            <w:r>
              <w:rPr>
                <w:color w:val="000000"/>
                <w:spacing w:val="0"/>
                <w:w w:val="100"/>
                <w:position w:val="0"/>
                <w:sz w:val="18"/>
                <w:szCs w:val="18"/>
              </w:rPr>
              <w:t>新市民保障卡申领、制作</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公共服务</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各地有关市民保障卡申领、制作的规定</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946"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100301000</w:t>
            </w: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再生育许可</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《中华人民共和国人口与计划生育法》《江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苏省人口与计划生育条例》</w:t>
            </w:r>
          </w:p>
        </w:tc>
        <w:tc>
          <w:tcPr>
            <w:tcW w:w="1142"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卫健委</w:t>
            </w:r>
            <w:r>
              <w:rPr>
                <w:rFonts w:ascii="Times New Roman" w:hAnsi="Times New Roman" w:eastAsia="Times New Roman" w:cs="Times New Roman"/>
                <w:color w:val="000000"/>
                <w:spacing w:val="0"/>
                <w:w w:val="100"/>
                <w:position w:val="0"/>
                <w:sz w:val="20"/>
                <w:szCs w:val="20"/>
              </w:rPr>
              <w:t>（9</w:t>
            </w:r>
            <w:r>
              <w:rPr>
                <w:color w:val="000000"/>
                <w:spacing w:val="0"/>
                <w:w w:val="100"/>
                <w:position w:val="0"/>
                <w:sz w:val="18"/>
                <w:szCs w:val="18"/>
              </w:rPr>
              <w:t>项）</w:t>
            </w:r>
          </w:p>
        </w:tc>
      </w:tr>
      <w:tr>
        <w:tblPrEx>
          <w:tblCellMar>
            <w:top w:w="0" w:type="dxa"/>
            <w:left w:w="10" w:type="dxa"/>
            <w:bottom w:w="0" w:type="dxa"/>
            <w:right w:w="10" w:type="dxa"/>
          </w:tblCellMar>
        </w:tblPrEx>
        <w:trPr>
          <w:trHeight w:val="922"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11</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500048000</w:t>
            </w: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农村部分计划生育家庭奖励扶助金</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行政给付</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《中华人民共和国人口与计划生育法》《江苏省人口与计划生育条例》</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787" w:hRule="exact"/>
          <w:jc w:val="center"/>
        </w:trPr>
        <w:tc>
          <w:tcPr>
            <w:tcW w:w="56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12</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500049000</w:t>
            </w:r>
          </w:p>
        </w:tc>
        <w:tc>
          <w:tcPr>
            <w:tcW w:w="1814"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计划生育家庭特别</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扶助金</w:t>
            </w:r>
          </w:p>
        </w:tc>
        <w:tc>
          <w:tcPr>
            <w:tcW w:w="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行政给付</w:t>
            </w:r>
          </w:p>
        </w:tc>
        <w:tc>
          <w:tcPr>
            <w:tcW w:w="393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《中华人民共和国人口与计划生育法》《江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苏省人口与计划生育条例》</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662" w:hRule="exact"/>
          <w:jc w:val="center"/>
        </w:trPr>
        <w:tc>
          <w:tcPr>
            <w:tcW w:w="562"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13</w:t>
            </w:r>
          </w:p>
        </w:tc>
        <w:tc>
          <w:tcPr>
            <w:tcW w:w="1157"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1000459000</w:t>
            </w:r>
          </w:p>
        </w:tc>
        <w:tc>
          <w:tcPr>
            <w:tcW w:w="1814"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职业病危害项目申报</w:t>
            </w:r>
          </w:p>
        </w:tc>
        <w:tc>
          <w:tcPr>
            <w:tcW w:w="917"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其他</w:t>
            </w:r>
          </w:p>
        </w:tc>
        <w:tc>
          <w:tcPr>
            <w:tcW w:w="3936"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《中华人民共和国职业病防治法》</w:t>
            </w:r>
          </w:p>
        </w:tc>
        <w:tc>
          <w:tcPr>
            <w:tcW w:w="1142"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bl>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sectPr>
          <w:footerReference r:id="rId6" w:type="first"/>
          <w:footerReference r:id="rId4" w:type="default"/>
          <w:footerReference r:id="rId5" w:type="even"/>
          <w:footnotePr>
            <w:numFmt w:val="decimal"/>
          </w:footnotePr>
          <w:pgSz w:w="11900" w:h="16840"/>
          <w:pgMar w:top="2003" w:right="1016" w:bottom="2012" w:left="1356" w:header="0" w:footer="3" w:gutter="0"/>
          <w:cols w:space="720" w:num="1"/>
          <w:titlePg/>
          <w:rtlGutter w:val="0"/>
          <w:docGrid w:linePitch="360" w:charSpace="0"/>
        </w:sectPr>
      </w:pPr>
    </w:p>
    <w:tbl>
      <w:tblPr>
        <w:tblStyle w:val="5"/>
        <w:tblW w:w="0" w:type="auto"/>
        <w:jc w:val="center"/>
        <w:tblLayout w:type="fixed"/>
        <w:tblCellMar>
          <w:top w:w="0" w:type="dxa"/>
          <w:left w:w="10" w:type="dxa"/>
          <w:bottom w:w="0" w:type="dxa"/>
          <w:right w:w="10" w:type="dxa"/>
        </w:tblCellMar>
      </w:tblPr>
      <w:tblGrid>
        <w:gridCol w:w="586"/>
        <w:gridCol w:w="1152"/>
        <w:gridCol w:w="1810"/>
        <w:gridCol w:w="922"/>
        <w:gridCol w:w="3917"/>
        <w:gridCol w:w="1142"/>
      </w:tblGrid>
      <w:tr>
        <w:tblPrEx>
          <w:tblCellMar>
            <w:top w:w="0" w:type="dxa"/>
            <w:left w:w="10" w:type="dxa"/>
            <w:bottom w:w="0" w:type="dxa"/>
            <w:right w:w="10" w:type="dxa"/>
          </w:tblCellMar>
        </w:tblPrEx>
        <w:trPr>
          <w:trHeight w:val="802" w:hRule="exact"/>
          <w:jc w:val="center"/>
        </w:trPr>
        <w:tc>
          <w:tcPr>
            <w:tcW w:w="58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序号</w:t>
            </w:r>
          </w:p>
        </w:tc>
        <w:tc>
          <w:tcPr>
            <w:tcW w:w="11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基本编码</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权限名称</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9" w:lineRule="exact"/>
              <w:ind w:left="0" w:right="0" w:firstLine="0"/>
              <w:jc w:val="center"/>
              <w:textAlignment w:val="auto"/>
              <w:rPr>
                <w:sz w:val="18"/>
                <w:szCs w:val="18"/>
              </w:rPr>
            </w:pPr>
            <w:r>
              <w:rPr>
                <w:b/>
                <w:bCs/>
                <w:color w:val="000000"/>
                <w:spacing w:val="0"/>
                <w:w w:val="100"/>
                <w:position w:val="0"/>
                <w:sz w:val="18"/>
                <w:szCs w:val="18"/>
              </w:rPr>
              <w:t>权力类型</w:t>
            </w:r>
          </w:p>
        </w:tc>
        <w:tc>
          <w:tcPr>
            <w:tcW w:w="3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设定依据</w:t>
            </w:r>
          </w:p>
        </w:tc>
        <w:tc>
          <w:tcPr>
            <w:tcW w:w="1142" w:type="dxa"/>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所属部门</w:t>
            </w:r>
          </w:p>
        </w:tc>
      </w:tr>
      <w:tr>
        <w:tblPrEx>
          <w:tblCellMar>
            <w:top w:w="0" w:type="dxa"/>
            <w:left w:w="10" w:type="dxa"/>
            <w:bottom w:w="0" w:type="dxa"/>
            <w:right w:w="10" w:type="dxa"/>
          </w:tblCellMar>
        </w:tblPrEx>
        <w:trPr>
          <w:trHeight w:val="1042" w:hRule="exact"/>
          <w:jc w:val="center"/>
        </w:trPr>
        <w:tc>
          <w:tcPr>
            <w:tcW w:w="58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14</w:t>
            </w:r>
          </w:p>
        </w:tc>
        <w:tc>
          <w:tcPr>
            <w:tcW w:w="11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400075000</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社会抚养费征收</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行政征收</w:t>
            </w:r>
          </w:p>
        </w:tc>
        <w:tc>
          <w:tcPr>
            <w:tcW w:w="3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38" w:lineRule="exact"/>
              <w:ind w:left="0" w:right="0" w:firstLine="0"/>
              <w:jc w:val="center"/>
              <w:textAlignment w:val="auto"/>
              <w:rPr>
                <w:sz w:val="18"/>
                <w:szCs w:val="18"/>
              </w:rPr>
            </w:pPr>
            <w:r>
              <w:rPr>
                <w:color w:val="000000"/>
                <w:spacing w:val="0"/>
                <w:w w:val="100"/>
                <w:position w:val="0"/>
                <w:sz w:val="18"/>
                <w:szCs w:val="18"/>
              </w:rPr>
              <w:t>《中华人民共和国人口与计划生育法》《社会抚养费征收管理办法》（国务院令第</w:t>
            </w:r>
            <w:r>
              <w:rPr>
                <w:rFonts w:ascii="Times New Roman" w:hAnsi="Times New Roman" w:eastAsia="Times New Roman" w:cs="Times New Roman"/>
                <w:color w:val="000000"/>
                <w:spacing w:val="0"/>
                <w:w w:val="100"/>
                <w:position w:val="0"/>
                <w:sz w:val="20"/>
                <w:szCs w:val="20"/>
              </w:rPr>
              <w:t xml:space="preserve">357 </w:t>
            </w:r>
            <w:r>
              <w:rPr>
                <w:color w:val="000000"/>
                <w:spacing w:val="0"/>
                <w:w w:val="100"/>
                <w:position w:val="0"/>
                <w:sz w:val="18"/>
                <w:szCs w:val="18"/>
              </w:rPr>
              <w:t>号）、《江苏省人口与计划生育条例》</w:t>
            </w:r>
          </w:p>
        </w:tc>
        <w:tc>
          <w:tcPr>
            <w:tcW w:w="1142"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卫健委</w:t>
            </w:r>
            <w:r>
              <w:rPr>
                <w:rFonts w:ascii="Times New Roman" w:hAnsi="Times New Roman" w:eastAsia="Times New Roman" w:cs="Times New Roman"/>
                <w:color w:val="000000"/>
                <w:spacing w:val="0"/>
                <w:w w:val="100"/>
                <w:position w:val="0"/>
                <w:sz w:val="20"/>
                <w:szCs w:val="20"/>
              </w:rPr>
              <w:t>（9</w:t>
            </w:r>
            <w:r>
              <w:rPr>
                <w:color w:val="000000"/>
                <w:spacing w:val="0"/>
                <w:w w:val="100"/>
                <w:position w:val="0"/>
                <w:sz w:val="18"/>
                <w:szCs w:val="18"/>
              </w:rPr>
              <w:t>项）</w:t>
            </w:r>
          </w:p>
        </w:tc>
      </w:tr>
      <w:tr>
        <w:tblPrEx>
          <w:tblCellMar>
            <w:top w:w="0" w:type="dxa"/>
            <w:left w:w="10" w:type="dxa"/>
            <w:bottom w:w="0" w:type="dxa"/>
            <w:right w:w="10" w:type="dxa"/>
          </w:tblCellMar>
        </w:tblPrEx>
        <w:trPr>
          <w:trHeight w:val="773" w:hRule="exact"/>
          <w:jc w:val="center"/>
        </w:trPr>
        <w:tc>
          <w:tcPr>
            <w:tcW w:w="58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15</w:t>
            </w:r>
          </w:p>
        </w:tc>
        <w:tc>
          <w:tcPr>
            <w:tcW w:w="11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1000138000</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老年人优待证的办理</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其他</w:t>
            </w:r>
          </w:p>
        </w:tc>
        <w:tc>
          <w:tcPr>
            <w:tcW w:w="3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41" w:lineRule="exact"/>
              <w:ind w:left="0" w:right="0" w:firstLine="0"/>
              <w:jc w:val="center"/>
              <w:textAlignment w:val="auto"/>
              <w:rPr>
                <w:sz w:val="18"/>
                <w:szCs w:val="18"/>
              </w:rPr>
            </w:pPr>
            <w:r>
              <w:rPr>
                <w:color w:val="000000"/>
                <w:spacing w:val="0"/>
                <w:w w:val="100"/>
                <w:position w:val="0"/>
                <w:sz w:val="18"/>
                <w:szCs w:val="18"/>
              </w:rPr>
              <w:t>《中华人民共和国老年人权益保障法》《江苏省老年人权益保障条例》</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706" w:hRule="exact"/>
          <w:jc w:val="center"/>
        </w:trPr>
        <w:tc>
          <w:tcPr>
            <w:tcW w:w="58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16</w:t>
            </w:r>
          </w:p>
        </w:tc>
        <w:tc>
          <w:tcPr>
            <w:tcW w:w="115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sz w:val="10"/>
                <w:szCs w:val="10"/>
              </w:rPr>
            </w:pP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46" w:lineRule="exact"/>
              <w:ind w:left="0" w:right="0" w:firstLine="0"/>
              <w:jc w:val="center"/>
              <w:textAlignment w:val="auto"/>
              <w:rPr>
                <w:sz w:val="18"/>
                <w:szCs w:val="18"/>
              </w:rPr>
            </w:pPr>
            <w:r>
              <w:rPr>
                <w:color w:val="000000"/>
                <w:spacing w:val="0"/>
                <w:w w:val="100"/>
                <w:position w:val="0"/>
                <w:sz w:val="18"/>
                <w:szCs w:val="18"/>
              </w:rPr>
              <w:t>《独生子女父母光荣证》核发</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公共服务</w:t>
            </w:r>
          </w:p>
        </w:tc>
        <w:tc>
          <w:tcPr>
            <w:tcW w:w="3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《江苏省人口与计划生育条例》</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701" w:hRule="exact"/>
          <w:jc w:val="center"/>
        </w:trPr>
        <w:tc>
          <w:tcPr>
            <w:tcW w:w="58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17</w:t>
            </w:r>
          </w:p>
        </w:tc>
        <w:tc>
          <w:tcPr>
            <w:tcW w:w="115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sz w:val="10"/>
                <w:szCs w:val="10"/>
              </w:rPr>
            </w:pP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46" w:lineRule="exact"/>
              <w:ind w:left="0" w:right="0" w:firstLine="0"/>
              <w:jc w:val="center"/>
              <w:textAlignment w:val="auto"/>
              <w:rPr>
                <w:sz w:val="18"/>
                <w:szCs w:val="18"/>
              </w:rPr>
            </w:pPr>
            <w:r>
              <w:rPr>
                <w:color w:val="000000"/>
                <w:spacing w:val="0"/>
                <w:w w:val="100"/>
                <w:position w:val="0"/>
                <w:sz w:val="18"/>
                <w:szCs w:val="18"/>
              </w:rPr>
              <w:t>办理《流动人口婚育证明》</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公共服务</w:t>
            </w:r>
          </w:p>
        </w:tc>
        <w:tc>
          <w:tcPr>
            <w:tcW w:w="3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《江苏省人口与计划生育条例》</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365" w:hRule="exact"/>
          <w:jc w:val="center"/>
        </w:trPr>
        <w:tc>
          <w:tcPr>
            <w:tcW w:w="58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18</w:t>
            </w:r>
          </w:p>
        </w:tc>
        <w:tc>
          <w:tcPr>
            <w:tcW w:w="1152"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sz w:val="10"/>
                <w:szCs w:val="10"/>
              </w:rPr>
            </w:pP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办理生育服务证</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公共服务</w:t>
            </w:r>
          </w:p>
        </w:tc>
        <w:tc>
          <w:tcPr>
            <w:tcW w:w="3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《江苏省人口与计划生育条例》</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2731" w:hRule="exact"/>
          <w:jc w:val="center"/>
        </w:trPr>
        <w:tc>
          <w:tcPr>
            <w:tcW w:w="58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19</w:t>
            </w:r>
          </w:p>
        </w:tc>
        <w:tc>
          <w:tcPr>
            <w:tcW w:w="11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100297002</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公共场所卫生许可</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39" w:lineRule="exact"/>
              <w:ind w:left="0" w:right="0" w:firstLine="0"/>
              <w:jc w:val="center"/>
              <w:textAlignment w:val="auto"/>
              <w:rPr>
                <w:color w:val="000000"/>
                <w:spacing w:val="0"/>
                <w:w w:val="100"/>
                <w:position w:val="0"/>
                <w:sz w:val="18"/>
                <w:szCs w:val="18"/>
              </w:rPr>
            </w:pPr>
            <w:r>
              <w:rPr>
                <w:color w:val="000000"/>
                <w:spacing w:val="0"/>
                <w:w w:val="100"/>
                <w:position w:val="0"/>
                <w:sz w:val="18"/>
                <w:szCs w:val="18"/>
              </w:rPr>
              <w:t>《公共场所卫生管理条例》（国发〔</w:t>
            </w:r>
            <w:r>
              <w:rPr>
                <w:rFonts w:ascii="Times New Roman" w:hAnsi="Times New Roman" w:eastAsia="Times New Roman" w:cs="Times New Roman"/>
                <w:color w:val="000000"/>
                <w:spacing w:val="0"/>
                <w:w w:val="100"/>
                <w:position w:val="0"/>
                <w:sz w:val="20"/>
                <w:szCs w:val="20"/>
              </w:rPr>
              <w:t>1987</w:t>
            </w:r>
            <w:r>
              <w:rPr>
                <w:color w:val="000000"/>
                <w:spacing w:val="0"/>
                <w:w w:val="100"/>
                <w:position w:val="0"/>
                <w:sz w:val="18"/>
                <w:szCs w:val="18"/>
              </w:rPr>
              <w:t>〕</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39" w:lineRule="exact"/>
              <w:ind w:left="0" w:right="0" w:firstLine="0"/>
              <w:jc w:val="center"/>
              <w:textAlignment w:val="auto"/>
              <w:rPr>
                <w:sz w:val="18"/>
                <w:szCs w:val="18"/>
              </w:rPr>
            </w:pPr>
            <w:r>
              <w:rPr>
                <w:rFonts w:ascii="Times New Roman" w:hAnsi="Times New Roman" w:eastAsia="Times New Roman" w:cs="Times New Roman"/>
                <w:color w:val="000000"/>
                <w:spacing w:val="0"/>
                <w:w w:val="100"/>
                <w:position w:val="0"/>
                <w:sz w:val="20"/>
                <w:szCs w:val="20"/>
              </w:rPr>
              <w:t>24</w:t>
            </w:r>
            <w:r>
              <w:rPr>
                <w:color w:val="000000"/>
                <w:spacing w:val="0"/>
                <w:w w:val="100"/>
                <w:position w:val="0"/>
                <w:sz w:val="18"/>
                <w:szCs w:val="18"/>
              </w:rPr>
              <w:t>号）《公共场所卫生管理条例实施细则》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39" w:lineRule="exact"/>
              <w:ind w:left="0" w:right="0" w:firstLine="0"/>
              <w:jc w:val="center"/>
              <w:textAlignment w:val="auto"/>
              <w:rPr>
                <w:sz w:val="18"/>
                <w:szCs w:val="18"/>
              </w:rPr>
            </w:pPr>
            <w:r>
              <w:rPr>
                <w:color w:val="000000"/>
                <w:spacing w:val="0"/>
                <w:w w:val="100"/>
                <w:position w:val="0"/>
                <w:sz w:val="18"/>
                <w:szCs w:val="18"/>
              </w:rPr>
              <w:t>（卫生部令第</w:t>
            </w:r>
            <w:r>
              <w:rPr>
                <w:rFonts w:ascii="Times New Roman" w:hAnsi="Times New Roman" w:eastAsia="Times New Roman" w:cs="Times New Roman"/>
                <w:color w:val="000000"/>
                <w:spacing w:val="0"/>
                <w:w w:val="100"/>
                <w:position w:val="0"/>
                <w:sz w:val="20"/>
                <w:szCs w:val="20"/>
              </w:rPr>
              <w:t>80</w:t>
            </w:r>
            <w:r>
              <w:rPr>
                <w:color w:val="000000"/>
                <w:spacing w:val="0"/>
                <w:w w:val="100"/>
                <w:position w:val="0"/>
                <w:sz w:val="18"/>
                <w:szCs w:val="18"/>
              </w:rPr>
              <w:t>号发布，国家卫生和计划生育委员会令第</w:t>
            </w:r>
            <w:r>
              <w:rPr>
                <w:rFonts w:ascii="Times New Roman" w:hAnsi="Times New Roman" w:eastAsia="Times New Roman" w:cs="Times New Roman"/>
                <w:color w:val="000000"/>
                <w:spacing w:val="0"/>
                <w:w w:val="100"/>
                <w:position w:val="0"/>
                <w:sz w:val="20"/>
                <w:szCs w:val="20"/>
              </w:rPr>
              <w:t>8</w:t>
            </w:r>
            <w:r>
              <w:rPr>
                <w:color w:val="000000"/>
                <w:spacing w:val="0"/>
                <w:w w:val="100"/>
                <w:position w:val="0"/>
                <w:sz w:val="18"/>
                <w:szCs w:val="18"/>
              </w:rPr>
              <w:t>号修改）《公共场所卫生管理条例实施细则》（卫生部令第</w:t>
            </w:r>
            <w:r>
              <w:rPr>
                <w:rFonts w:ascii="Times New Roman" w:hAnsi="Times New Roman" w:eastAsia="Times New Roman" w:cs="Times New Roman"/>
                <w:color w:val="000000"/>
                <w:spacing w:val="0"/>
                <w:w w:val="100"/>
                <w:position w:val="0"/>
                <w:sz w:val="20"/>
                <w:szCs w:val="20"/>
              </w:rPr>
              <w:t>80</w:t>
            </w:r>
            <w:r>
              <w:rPr>
                <w:color w:val="000000"/>
                <w:spacing w:val="0"/>
                <w:w w:val="100"/>
                <w:position w:val="0"/>
                <w:sz w:val="18"/>
                <w:szCs w:val="18"/>
              </w:rPr>
              <w:t>号发布，国家卫生和计划生育委员会令第</w:t>
            </w:r>
            <w:r>
              <w:rPr>
                <w:rFonts w:ascii="Times New Roman" w:hAnsi="Times New Roman" w:eastAsia="Times New Roman" w:cs="Times New Roman"/>
                <w:color w:val="000000"/>
                <w:spacing w:val="0"/>
                <w:w w:val="100"/>
                <w:position w:val="0"/>
                <w:sz w:val="20"/>
                <w:szCs w:val="20"/>
              </w:rPr>
              <w:t>8</w:t>
            </w:r>
            <w:r>
              <w:rPr>
                <w:color w:val="000000"/>
                <w:spacing w:val="0"/>
                <w:w w:val="100"/>
                <w:position w:val="0"/>
                <w:sz w:val="18"/>
                <w:szCs w:val="18"/>
              </w:rPr>
              <w:t>号修改）《江苏省〈公共场所卫生管理条例〉实施办法》（省政府令第</w:t>
            </w:r>
            <w:r>
              <w:rPr>
                <w:rFonts w:ascii="Times New Roman" w:hAnsi="Times New Roman" w:eastAsia="Times New Roman" w:cs="Times New Roman"/>
                <w:color w:val="000000"/>
                <w:spacing w:val="0"/>
                <w:w w:val="100"/>
                <w:position w:val="0"/>
                <w:sz w:val="20"/>
                <w:szCs w:val="20"/>
              </w:rPr>
              <w:t>33</w:t>
            </w:r>
            <w:r>
              <w:rPr>
                <w:color w:val="000000"/>
                <w:spacing w:val="0"/>
                <w:w w:val="100"/>
                <w:position w:val="0"/>
                <w:sz w:val="18"/>
                <w:szCs w:val="18"/>
              </w:rPr>
              <w:t>号）</w:t>
            </w:r>
          </w:p>
        </w:tc>
        <w:tc>
          <w:tcPr>
            <w:tcW w:w="1142"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31" w:lineRule="exact"/>
              <w:ind w:left="0" w:right="0" w:firstLine="0"/>
              <w:jc w:val="center"/>
              <w:textAlignment w:val="auto"/>
              <w:rPr>
                <w:sz w:val="18"/>
                <w:szCs w:val="18"/>
              </w:rPr>
            </w:pPr>
            <w:r>
              <w:rPr>
                <w:color w:val="000000"/>
                <w:spacing w:val="0"/>
                <w:w w:val="100"/>
                <w:position w:val="0"/>
                <w:sz w:val="18"/>
                <w:szCs w:val="18"/>
              </w:rPr>
              <w:t xml:space="preserve">行政审批局 </w:t>
            </w:r>
            <w:r>
              <w:rPr>
                <w:rFonts w:ascii="Times New Roman" w:hAnsi="Times New Roman" w:eastAsia="Times New Roman" w:cs="Times New Roman"/>
                <w:color w:val="000000"/>
                <w:spacing w:val="0"/>
                <w:w w:val="100"/>
                <w:position w:val="0"/>
                <w:sz w:val="20"/>
                <w:szCs w:val="20"/>
              </w:rPr>
              <w:t xml:space="preserve">（10 </w:t>
            </w:r>
            <w:r>
              <w:rPr>
                <w:color w:val="000000"/>
                <w:spacing w:val="0"/>
                <w:w w:val="100"/>
                <w:position w:val="0"/>
                <w:sz w:val="18"/>
                <w:szCs w:val="18"/>
              </w:rPr>
              <w:t>项）</w:t>
            </w:r>
          </w:p>
        </w:tc>
      </w:tr>
      <w:tr>
        <w:tblPrEx>
          <w:tblCellMar>
            <w:top w:w="0" w:type="dxa"/>
            <w:left w:w="10" w:type="dxa"/>
            <w:bottom w:w="0" w:type="dxa"/>
            <w:right w:w="10" w:type="dxa"/>
          </w:tblCellMar>
        </w:tblPrEx>
        <w:trPr>
          <w:trHeight w:val="1104" w:hRule="exact"/>
          <w:jc w:val="center"/>
        </w:trPr>
        <w:tc>
          <w:tcPr>
            <w:tcW w:w="58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20</w:t>
            </w:r>
          </w:p>
        </w:tc>
        <w:tc>
          <w:tcPr>
            <w:tcW w:w="11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100356000</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50" w:lineRule="exact"/>
              <w:ind w:left="0" w:right="0" w:firstLine="0"/>
              <w:jc w:val="center"/>
              <w:textAlignment w:val="auto"/>
              <w:rPr>
                <w:sz w:val="18"/>
                <w:szCs w:val="18"/>
              </w:rPr>
            </w:pPr>
            <w:r>
              <w:rPr>
                <w:color w:val="000000"/>
                <w:spacing w:val="0"/>
                <w:w w:val="100"/>
                <w:position w:val="0"/>
                <w:sz w:val="18"/>
                <w:szCs w:val="18"/>
              </w:rPr>
              <w:t>出版物零售单位设立审批</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58" w:lineRule="exact"/>
              <w:ind w:left="0" w:right="0" w:firstLine="0"/>
              <w:jc w:val="center"/>
              <w:textAlignment w:val="auto"/>
              <w:rPr>
                <w:sz w:val="20"/>
                <w:szCs w:val="20"/>
              </w:rPr>
            </w:pPr>
            <w:r>
              <w:rPr>
                <w:color w:val="000000"/>
                <w:spacing w:val="0"/>
                <w:w w:val="100"/>
                <w:position w:val="0"/>
                <w:sz w:val="18"/>
                <w:szCs w:val="18"/>
              </w:rPr>
              <w:t>《出版管理条例》（国务院令第</w:t>
            </w:r>
            <w:r>
              <w:rPr>
                <w:rFonts w:ascii="Times New Roman" w:hAnsi="Times New Roman" w:eastAsia="Times New Roman" w:cs="Times New Roman"/>
                <w:color w:val="000000"/>
                <w:spacing w:val="0"/>
                <w:w w:val="100"/>
                <w:position w:val="0"/>
                <w:sz w:val="20"/>
                <w:szCs w:val="20"/>
              </w:rPr>
              <w:t>594</w:t>
            </w:r>
            <w:r>
              <w:rPr>
                <w:color w:val="000000"/>
                <w:spacing w:val="0"/>
                <w:w w:val="100"/>
                <w:position w:val="0"/>
                <w:sz w:val="18"/>
                <w:szCs w:val="18"/>
              </w:rPr>
              <w:t>号）《出版物市场管理</w:t>
            </w:r>
            <w:r>
              <w:rPr>
                <w:color w:val="000000"/>
                <w:spacing w:val="0"/>
                <w:w w:val="100"/>
                <w:position w:val="0"/>
                <w:sz w:val="18"/>
                <w:szCs w:val="18"/>
                <w:lang w:val="zh-CN" w:eastAsia="zh-CN" w:bidi="zh-CN"/>
              </w:rPr>
              <w:t>规定》</w:t>
            </w:r>
            <w:r>
              <w:rPr>
                <w:color w:val="000000"/>
                <w:spacing w:val="0"/>
                <w:w w:val="100"/>
                <w:position w:val="0"/>
                <w:sz w:val="18"/>
                <w:szCs w:val="18"/>
              </w:rPr>
              <w:t>（新闻出版总署、商务部令第</w:t>
            </w:r>
            <w:r>
              <w:rPr>
                <w:rFonts w:ascii="Times New Roman" w:hAnsi="Times New Roman" w:eastAsia="Times New Roman" w:cs="Times New Roman"/>
                <w:color w:val="000000"/>
                <w:spacing w:val="0"/>
                <w:w w:val="100"/>
                <w:position w:val="0"/>
                <w:sz w:val="20"/>
                <w:szCs w:val="20"/>
              </w:rPr>
              <w:t>52</w:t>
            </w:r>
            <w:r>
              <w:rPr>
                <w:color w:val="000000"/>
                <w:spacing w:val="0"/>
                <w:w w:val="100"/>
                <w:position w:val="0"/>
                <w:sz w:val="18"/>
                <w:szCs w:val="18"/>
              </w:rPr>
              <w:t>号</w:t>
            </w:r>
            <w:r>
              <w:rPr>
                <w:color w:val="000000"/>
                <w:spacing w:val="0"/>
                <w:w w:val="100"/>
                <w:position w:val="0"/>
                <w:sz w:val="20"/>
                <w:szCs w:val="20"/>
              </w:rPr>
              <w:t>）</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1104" w:hRule="exact"/>
          <w:jc w:val="center"/>
        </w:trPr>
        <w:tc>
          <w:tcPr>
            <w:tcW w:w="58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21</w:t>
            </w:r>
          </w:p>
        </w:tc>
        <w:tc>
          <w:tcPr>
            <w:tcW w:w="11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100128000</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2" w:lineRule="exact"/>
              <w:ind w:left="0" w:right="0" w:firstLine="0"/>
              <w:jc w:val="center"/>
              <w:textAlignment w:val="auto"/>
              <w:rPr>
                <w:sz w:val="18"/>
                <w:szCs w:val="18"/>
              </w:rPr>
            </w:pPr>
            <w:r>
              <w:rPr>
                <w:color w:val="000000"/>
                <w:spacing w:val="0"/>
                <w:w w:val="100"/>
                <w:position w:val="0"/>
                <w:sz w:val="18"/>
                <w:szCs w:val="18"/>
              </w:rPr>
              <w:t>实行不定时工作制和综合计算工时工作制的审批</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《中华人民共和国劳动法》</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1464" w:hRule="exact"/>
          <w:jc w:val="center"/>
        </w:trPr>
        <w:tc>
          <w:tcPr>
            <w:tcW w:w="586"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22</w:t>
            </w:r>
          </w:p>
        </w:tc>
        <w:tc>
          <w:tcPr>
            <w:tcW w:w="11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100175000</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户外广告设置的审批</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1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57" w:lineRule="exact"/>
              <w:ind w:left="0" w:right="0" w:firstLine="0"/>
              <w:jc w:val="center"/>
              <w:textAlignment w:val="auto"/>
              <w:rPr>
                <w:sz w:val="18"/>
                <w:szCs w:val="18"/>
              </w:rPr>
            </w:pPr>
            <w:r>
              <w:rPr>
                <w:color w:val="000000"/>
                <w:spacing w:val="0"/>
                <w:w w:val="100"/>
                <w:position w:val="0"/>
                <w:sz w:val="18"/>
                <w:szCs w:val="18"/>
              </w:rPr>
              <w:t>《城市市容和环境卫生管理条例》（国务院令第</w:t>
            </w:r>
            <w:r>
              <w:rPr>
                <w:rFonts w:ascii="Times New Roman" w:hAnsi="Times New Roman" w:eastAsia="Times New Roman" w:cs="Times New Roman"/>
                <w:color w:val="000000"/>
                <w:spacing w:val="0"/>
                <w:w w:val="100"/>
                <w:position w:val="0"/>
                <w:sz w:val="20"/>
                <w:szCs w:val="20"/>
              </w:rPr>
              <w:t>101</w:t>
            </w:r>
            <w:r>
              <w:rPr>
                <w:color w:val="000000"/>
                <w:spacing w:val="0"/>
                <w:w w:val="100"/>
                <w:position w:val="0"/>
                <w:sz w:val="18"/>
                <w:szCs w:val="18"/>
              </w:rPr>
              <w:t>号，</w:t>
            </w:r>
            <w:r>
              <w:rPr>
                <w:rFonts w:ascii="Times New Roman" w:hAnsi="Times New Roman" w:eastAsia="Times New Roman" w:cs="Times New Roman"/>
                <w:color w:val="000000"/>
                <w:spacing w:val="0"/>
                <w:w w:val="100"/>
                <w:position w:val="0"/>
                <w:sz w:val="20"/>
                <w:szCs w:val="20"/>
              </w:rPr>
              <w:t>2011</w:t>
            </w:r>
            <w:r>
              <w:rPr>
                <w:color w:val="000000"/>
                <w:spacing w:val="0"/>
                <w:w w:val="100"/>
                <w:position w:val="0"/>
                <w:sz w:val="18"/>
                <w:szCs w:val="18"/>
              </w:rPr>
              <w:t>年</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18"/>
                <w:szCs w:val="18"/>
              </w:rPr>
              <w:t>月</w:t>
            </w:r>
            <w:r>
              <w:rPr>
                <w:rFonts w:ascii="Times New Roman" w:hAnsi="Times New Roman" w:eastAsia="Times New Roman" w:cs="Times New Roman"/>
                <w:color w:val="000000"/>
                <w:spacing w:val="0"/>
                <w:w w:val="100"/>
                <w:position w:val="0"/>
                <w:sz w:val="20"/>
                <w:szCs w:val="20"/>
              </w:rPr>
              <w:t>8</w:t>
            </w:r>
            <w:r>
              <w:rPr>
                <w:color w:val="000000"/>
                <w:spacing w:val="0"/>
                <w:w w:val="100"/>
                <w:position w:val="0"/>
                <w:sz w:val="18"/>
                <w:szCs w:val="18"/>
              </w:rPr>
              <w:t>日根据《国务院关于废止和修改部分行政法规的决定》修正）《江苏省广告管理条例》</w:t>
            </w:r>
          </w:p>
        </w:tc>
        <w:tc>
          <w:tcPr>
            <w:tcW w:w="114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1834" w:hRule="exact"/>
          <w:jc w:val="center"/>
        </w:trPr>
        <w:tc>
          <w:tcPr>
            <w:tcW w:w="586"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23</w:t>
            </w:r>
          </w:p>
        </w:tc>
        <w:tc>
          <w:tcPr>
            <w:tcW w:w="1152"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100176000</w:t>
            </w:r>
          </w:p>
        </w:tc>
        <w:tc>
          <w:tcPr>
            <w:tcW w:w="1810"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exact"/>
              <w:ind w:left="0" w:right="0" w:firstLine="0"/>
              <w:jc w:val="center"/>
              <w:textAlignment w:val="auto"/>
              <w:rPr>
                <w:sz w:val="18"/>
                <w:szCs w:val="18"/>
              </w:rPr>
            </w:pPr>
            <w:r>
              <w:rPr>
                <w:color w:val="000000"/>
                <w:spacing w:val="0"/>
                <w:w w:val="100"/>
                <w:position w:val="0"/>
                <w:sz w:val="18"/>
                <w:szCs w:val="18"/>
              </w:rPr>
              <w:t>在街道两侧和公共 场地临时堆放物料，搭建非永久性建筑物、构筑物或者其他设施的审批</w:t>
            </w:r>
          </w:p>
        </w:tc>
        <w:tc>
          <w:tcPr>
            <w:tcW w:w="922"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17"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5" w:lineRule="exact"/>
              <w:ind w:left="0" w:right="0" w:firstLine="0"/>
              <w:jc w:val="center"/>
              <w:textAlignment w:val="auto"/>
              <w:rPr>
                <w:sz w:val="18"/>
                <w:szCs w:val="18"/>
              </w:rPr>
            </w:pPr>
            <w:r>
              <w:rPr>
                <w:color w:val="000000"/>
                <w:spacing w:val="0"/>
                <w:w w:val="100"/>
                <w:position w:val="0"/>
                <w:sz w:val="18"/>
                <w:szCs w:val="18"/>
              </w:rPr>
              <w:t>《城市市容和环境卫生管理条例》（国务院第</w:t>
            </w:r>
            <w:r>
              <w:rPr>
                <w:rFonts w:ascii="Times New Roman" w:hAnsi="Times New Roman" w:eastAsia="Times New Roman" w:cs="Times New Roman"/>
                <w:color w:val="000000"/>
                <w:spacing w:val="0"/>
                <w:w w:val="100"/>
                <w:position w:val="0"/>
                <w:sz w:val="20"/>
                <w:szCs w:val="20"/>
              </w:rPr>
              <w:t>101</w:t>
            </w:r>
            <w:r>
              <w:rPr>
                <w:color w:val="000000"/>
                <w:spacing w:val="0"/>
                <w:w w:val="100"/>
                <w:position w:val="0"/>
                <w:sz w:val="18"/>
                <w:szCs w:val="18"/>
              </w:rPr>
              <w:t>号,</w:t>
            </w:r>
            <w:r>
              <w:rPr>
                <w:rFonts w:ascii="Times New Roman" w:hAnsi="Times New Roman" w:eastAsia="Times New Roman" w:cs="Times New Roman"/>
                <w:color w:val="000000"/>
                <w:spacing w:val="0"/>
                <w:w w:val="100"/>
                <w:position w:val="0"/>
                <w:sz w:val="20"/>
                <w:szCs w:val="20"/>
              </w:rPr>
              <w:t>2011</w:t>
            </w:r>
            <w:r>
              <w:rPr>
                <w:color w:val="000000"/>
                <w:spacing w:val="0"/>
                <w:w w:val="100"/>
                <w:position w:val="0"/>
                <w:sz w:val="18"/>
                <w:szCs w:val="18"/>
              </w:rPr>
              <w:t>年</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18"/>
                <w:szCs w:val="18"/>
              </w:rPr>
              <w:t>月</w:t>
            </w:r>
            <w:r>
              <w:rPr>
                <w:rFonts w:ascii="Times New Roman" w:hAnsi="Times New Roman" w:eastAsia="Times New Roman" w:cs="Times New Roman"/>
                <w:color w:val="000000"/>
                <w:spacing w:val="0"/>
                <w:w w:val="100"/>
                <w:position w:val="0"/>
                <w:sz w:val="20"/>
                <w:szCs w:val="20"/>
              </w:rPr>
              <w:t>8</w:t>
            </w:r>
            <w:r>
              <w:rPr>
                <w:color w:val="000000"/>
                <w:spacing w:val="0"/>
                <w:w w:val="100"/>
                <w:position w:val="0"/>
                <w:sz w:val="18"/>
                <w:szCs w:val="18"/>
              </w:rPr>
              <w:t>日根据《国务院关于废止和修改部分行政法规的决定》修正）</w:t>
            </w:r>
          </w:p>
        </w:tc>
        <w:tc>
          <w:tcPr>
            <w:tcW w:w="1142" w:type="dxa"/>
            <w:vMerge w:val="continue"/>
            <w:tcBorders>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bl>
    <w:p>
      <w:pPr>
        <w:keepNext w:val="0"/>
        <w:keepLines w:val="0"/>
        <w:pageBreakBefore w:val="0"/>
        <w:widowControl w:val="0"/>
        <w:kinsoku/>
        <w:wordWrap/>
        <w:overflowPunct/>
        <w:topLinePunct w:val="0"/>
        <w:autoSpaceDE/>
        <w:autoSpaceDN/>
        <w:bidi w:val="0"/>
        <w:adjustRightInd/>
        <w:snapToGrid/>
        <w:spacing w:after="0" w:line="1" w:lineRule="exact"/>
        <w:ind w:left="0" w:firstLine="0"/>
        <w:jc w:val="center"/>
        <w:textAlignment w:val="auto"/>
        <w:rPr>
          <w:sz w:val="2"/>
          <w:szCs w:val="2"/>
        </w:rPr>
      </w:pPr>
      <w:r>
        <w:br w:type="page"/>
      </w:r>
    </w:p>
    <w:tbl>
      <w:tblPr>
        <w:tblStyle w:val="5"/>
        <w:tblW w:w="0" w:type="auto"/>
        <w:jc w:val="center"/>
        <w:tblLayout w:type="fixed"/>
        <w:tblCellMar>
          <w:top w:w="0" w:type="dxa"/>
          <w:left w:w="10" w:type="dxa"/>
          <w:bottom w:w="0" w:type="dxa"/>
          <w:right w:w="10" w:type="dxa"/>
        </w:tblCellMar>
      </w:tblPr>
      <w:tblGrid>
        <w:gridCol w:w="552"/>
        <w:gridCol w:w="1157"/>
        <w:gridCol w:w="1810"/>
        <w:gridCol w:w="922"/>
        <w:gridCol w:w="3931"/>
        <w:gridCol w:w="1152"/>
      </w:tblGrid>
      <w:tr>
        <w:tblPrEx>
          <w:tblCellMar>
            <w:top w:w="0" w:type="dxa"/>
            <w:left w:w="10" w:type="dxa"/>
            <w:bottom w:w="0" w:type="dxa"/>
            <w:right w:w="10" w:type="dxa"/>
          </w:tblCellMar>
        </w:tblPrEx>
        <w:trPr>
          <w:trHeight w:val="797" w:hRule="exact"/>
          <w:jc w:val="center"/>
        </w:trPr>
        <w:tc>
          <w:tcPr>
            <w:tcW w:w="5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序号</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基本编码</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权限名称</w:t>
            </w:r>
          </w:p>
        </w:tc>
        <w:tc>
          <w:tcPr>
            <w:tcW w:w="922" w:type="dxa"/>
            <w:tcBorders>
              <w:top w:val="single" w:color="auto" w:sz="4" w:space="0"/>
              <w:left w:val="single" w:color="auto" w:sz="4" w:space="0"/>
            </w:tcBorders>
            <w:shd w:val="clear" w:color="auto" w:fill="FFFFFF"/>
            <w:noWrap w:val="0"/>
            <w:vAlign w:val="bottom"/>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权力</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类型</w:t>
            </w:r>
          </w:p>
        </w:tc>
        <w:tc>
          <w:tcPr>
            <w:tcW w:w="3931"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设定依据</w:t>
            </w:r>
          </w:p>
        </w:tc>
        <w:tc>
          <w:tcPr>
            <w:tcW w:w="1152" w:type="dxa"/>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b/>
                <w:bCs/>
                <w:color w:val="000000"/>
                <w:spacing w:val="0"/>
                <w:w w:val="100"/>
                <w:position w:val="0"/>
                <w:sz w:val="18"/>
                <w:szCs w:val="18"/>
              </w:rPr>
              <w:t>所属部门</w:t>
            </w:r>
          </w:p>
        </w:tc>
      </w:tr>
      <w:tr>
        <w:tblPrEx>
          <w:tblCellMar>
            <w:top w:w="0" w:type="dxa"/>
            <w:left w:w="10" w:type="dxa"/>
            <w:bottom w:w="0" w:type="dxa"/>
            <w:right w:w="10" w:type="dxa"/>
          </w:tblCellMar>
        </w:tblPrEx>
        <w:trPr>
          <w:trHeight w:val="1166" w:hRule="exact"/>
          <w:jc w:val="center"/>
        </w:trPr>
        <w:tc>
          <w:tcPr>
            <w:tcW w:w="5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24</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100260000</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9" w:lineRule="exact"/>
              <w:ind w:left="0" w:right="0" w:firstLine="0"/>
              <w:jc w:val="center"/>
              <w:textAlignment w:val="auto"/>
              <w:rPr>
                <w:sz w:val="18"/>
                <w:szCs w:val="18"/>
              </w:rPr>
            </w:pPr>
            <w:r>
              <w:rPr>
                <w:color w:val="000000"/>
                <w:spacing w:val="0"/>
                <w:w w:val="100"/>
                <w:position w:val="0"/>
                <w:sz w:val="18"/>
                <w:szCs w:val="18"/>
              </w:rPr>
              <w:t>占用农业灌溉水源、灌排工程设施审批</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31"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9" w:lineRule="exact"/>
              <w:ind w:left="0" w:right="0" w:firstLine="0"/>
              <w:jc w:val="center"/>
              <w:textAlignment w:val="auto"/>
              <w:rPr>
                <w:sz w:val="18"/>
                <w:szCs w:val="18"/>
              </w:rPr>
            </w:pPr>
            <w:r>
              <w:rPr>
                <w:color w:val="000000"/>
                <w:spacing w:val="0"/>
                <w:w w:val="100"/>
                <w:position w:val="0"/>
                <w:sz w:val="18"/>
                <w:szCs w:val="18"/>
              </w:rPr>
              <w:t>《国务院对确需保留的行政许可行政审批项目设定行政许可的决定》（国务院第</w:t>
            </w:r>
            <w:r>
              <w:rPr>
                <w:rFonts w:ascii="Times New Roman" w:hAnsi="Times New Roman" w:eastAsia="Times New Roman" w:cs="Times New Roman"/>
                <w:color w:val="000000"/>
                <w:spacing w:val="0"/>
                <w:w w:val="100"/>
                <w:position w:val="0"/>
                <w:sz w:val="20"/>
                <w:szCs w:val="20"/>
              </w:rPr>
              <w:t>412</w:t>
            </w:r>
            <w:r>
              <w:rPr>
                <w:color w:val="000000"/>
                <w:spacing w:val="0"/>
                <w:w w:val="100"/>
                <w:position w:val="0"/>
                <w:sz w:val="18"/>
                <w:szCs w:val="18"/>
              </w:rPr>
              <w:t>号令）</w:t>
            </w:r>
          </w:p>
        </w:tc>
        <w:tc>
          <w:tcPr>
            <w:tcW w:w="1152"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46" w:lineRule="exact"/>
              <w:ind w:left="0" w:right="0" w:firstLine="0"/>
              <w:jc w:val="center"/>
              <w:textAlignment w:val="auto"/>
              <w:rPr>
                <w:sz w:val="18"/>
                <w:szCs w:val="18"/>
              </w:rPr>
            </w:pPr>
            <w:r>
              <w:rPr>
                <w:color w:val="000000"/>
                <w:spacing w:val="0"/>
                <w:w w:val="100"/>
                <w:position w:val="0"/>
                <w:sz w:val="18"/>
                <w:szCs w:val="18"/>
              </w:rPr>
              <w:t xml:space="preserve">行政审批局 </w:t>
            </w:r>
            <w:r>
              <w:rPr>
                <w:rFonts w:ascii="Times New Roman" w:hAnsi="Times New Roman" w:eastAsia="Times New Roman" w:cs="Times New Roman"/>
                <w:color w:val="000000"/>
                <w:spacing w:val="0"/>
                <w:w w:val="100"/>
                <w:position w:val="0"/>
                <w:sz w:val="20"/>
                <w:szCs w:val="20"/>
              </w:rPr>
              <w:t xml:space="preserve">（10 </w:t>
            </w:r>
            <w:r>
              <w:rPr>
                <w:color w:val="000000"/>
                <w:spacing w:val="0"/>
                <w:w w:val="100"/>
                <w:position w:val="0"/>
                <w:sz w:val="18"/>
                <w:szCs w:val="18"/>
              </w:rPr>
              <w:t>项）</w:t>
            </w:r>
          </w:p>
        </w:tc>
      </w:tr>
      <w:tr>
        <w:tblPrEx>
          <w:tblCellMar>
            <w:top w:w="0" w:type="dxa"/>
            <w:left w:w="10" w:type="dxa"/>
            <w:bottom w:w="0" w:type="dxa"/>
            <w:right w:w="10" w:type="dxa"/>
          </w:tblCellMar>
        </w:tblPrEx>
        <w:trPr>
          <w:trHeight w:val="1162" w:hRule="exact"/>
          <w:jc w:val="center"/>
        </w:trPr>
        <w:tc>
          <w:tcPr>
            <w:tcW w:w="5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25</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100166002</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9" w:lineRule="exact"/>
              <w:ind w:left="0" w:right="0" w:firstLine="0"/>
              <w:jc w:val="center"/>
              <w:textAlignment w:val="auto"/>
              <w:rPr>
                <w:sz w:val="18"/>
                <w:szCs w:val="18"/>
              </w:rPr>
            </w:pPr>
            <w:r>
              <w:rPr>
                <w:color w:val="000000"/>
                <w:spacing w:val="0"/>
                <w:w w:val="100"/>
                <w:position w:val="0"/>
                <w:sz w:val="18"/>
                <w:szCs w:val="18"/>
              </w:rPr>
              <w:t>依附于城市道路建设各种管线、杆线等设施审批</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31"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《城市道路管理</w:t>
            </w:r>
            <w:r>
              <w:rPr>
                <w:color w:val="000000"/>
                <w:spacing w:val="0"/>
                <w:w w:val="100"/>
                <w:position w:val="0"/>
                <w:sz w:val="18"/>
                <w:szCs w:val="18"/>
                <w:lang w:val="zh-CN" w:eastAsia="zh-CN" w:bidi="zh-CN"/>
              </w:rPr>
              <w:t>条例》</w:t>
            </w:r>
            <w:r>
              <w:rPr>
                <w:color w:val="000000"/>
                <w:spacing w:val="0"/>
                <w:w w:val="100"/>
                <w:position w:val="0"/>
                <w:sz w:val="18"/>
                <w:szCs w:val="18"/>
              </w:rPr>
              <w:t>（国务院令第</w:t>
            </w:r>
            <w:r>
              <w:rPr>
                <w:rFonts w:ascii="Times New Roman" w:hAnsi="Times New Roman" w:eastAsia="Times New Roman" w:cs="Times New Roman"/>
                <w:color w:val="000000"/>
                <w:spacing w:val="0"/>
                <w:w w:val="100"/>
                <w:position w:val="0"/>
                <w:sz w:val="20"/>
                <w:szCs w:val="20"/>
              </w:rPr>
              <w:t>198</w:t>
            </w:r>
            <w:r>
              <w:rPr>
                <w:color w:val="000000"/>
                <w:spacing w:val="0"/>
                <w:w w:val="100"/>
                <w:position w:val="0"/>
                <w:sz w:val="18"/>
                <w:szCs w:val="18"/>
              </w:rPr>
              <w:t>号）</w:t>
            </w:r>
          </w:p>
        </w:tc>
        <w:tc>
          <w:tcPr>
            <w:tcW w:w="115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1541" w:hRule="exact"/>
          <w:jc w:val="center"/>
        </w:trPr>
        <w:tc>
          <w:tcPr>
            <w:tcW w:w="5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26</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100166003</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9" w:lineRule="exact"/>
              <w:ind w:left="0" w:right="0" w:firstLine="0"/>
              <w:jc w:val="center"/>
              <w:textAlignment w:val="auto"/>
              <w:rPr>
                <w:sz w:val="18"/>
                <w:szCs w:val="18"/>
              </w:rPr>
            </w:pPr>
            <w:r>
              <w:rPr>
                <w:color w:val="000000"/>
                <w:spacing w:val="0"/>
                <w:w w:val="100"/>
                <w:position w:val="0"/>
                <w:sz w:val="18"/>
                <w:szCs w:val="18"/>
              </w:rPr>
              <w:t>城市桥梁上架设各类市政管线审批</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31"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6" w:lineRule="exact"/>
              <w:ind w:left="0" w:right="0" w:firstLine="0"/>
              <w:jc w:val="center"/>
              <w:textAlignment w:val="auto"/>
              <w:rPr>
                <w:sz w:val="18"/>
                <w:szCs w:val="18"/>
              </w:rPr>
            </w:pPr>
            <w:r>
              <w:rPr>
                <w:color w:val="000000"/>
                <w:spacing w:val="0"/>
                <w:w w:val="100"/>
                <w:position w:val="0"/>
                <w:sz w:val="18"/>
                <w:szCs w:val="18"/>
              </w:rPr>
              <w:t>《国务院对确需保留的行政审批项目设定行政许可的决定》（国务院令第</w:t>
            </w:r>
            <w:r>
              <w:rPr>
                <w:rFonts w:ascii="Times New Roman" w:hAnsi="Times New Roman" w:eastAsia="Times New Roman" w:cs="Times New Roman"/>
                <w:color w:val="000000"/>
                <w:spacing w:val="0"/>
                <w:w w:val="100"/>
                <w:position w:val="0"/>
                <w:sz w:val="20"/>
                <w:szCs w:val="20"/>
              </w:rPr>
              <w:t>412</w:t>
            </w:r>
            <w:r>
              <w:rPr>
                <w:color w:val="000000"/>
                <w:spacing w:val="0"/>
                <w:w w:val="100"/>
                <w:position w:val="0"/>
                <w:sz w:val="18"/>
                <w:szCs w:val="18"/>
              </w:rPr>
              <w:t>号）《城市桥梁检测和养护维修管理办法》（建设部令第</w:t>
            </w:r>
            <w:r>
              <w:rPr>
                <w:rFonts w:ascii="Times New Roman" w:hAnsi="Times New Roman" w:eastAsia="Times New Roman" w:cs="Times New Roman"/>
                <w:color w:val="000000"/>
                <w:spacing w:val="0"/>
                <w:w w:val="100"/>
                <w:position w:val="0"/>
                <w:sz w:val="20"/>
                <w:szCs w:val="20"/>
              </w:rPr>
              <w:t>118</w:t>
            </w:r>
            <w:r>
              <w:rPr>
                <w:color w:val="000000"/>
                <w:spacing w:val="0"/>
                <w:w w:val="100"/>
                <w:position w:val="0"/>
                <w:sz w:val="18"/>
                <w:szCs w:val="18"/>
              </w:rPr>
              <w:t>号）</w:t>
            </w:r>
          </w:p>
        </w:tc>
        <w:tc>
          <w:tcPr>
            <w:tcW w:w="115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787" w:hRule="exact"/>
          <w:jc w:val="center"/>
        </w:trPr>
        <w:tc>
          <w:tcPr>
            <w:tcW w:w="5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27</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100169002</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砍伐城市树木、迁移古树名木审批</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31"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《城市绿化条例》（国务院令第</w:t>
            </w:r>
            <w:r>
              <w:rPr>
                <w:rFonts w:ascii="Times New Roman" w:hAnsi="Times New Roman" w:eastAsia="Times New Roman" w:cs="Times New Roman"/>
                <w:color w:val="000000"/>
                <w:spacing w:val="0"/>
                <w:w w:val="100"/>
                <w:position w:val="0"/>
                <w:sz w:val="20"/>
                <w:szCs w:val="20"/>
              </w:rPr>
              <w:t>100</w:t>
            </w:r>
            <w:r>
              <w:rPr>
                <w:color w:val="000000"/>
                <w:spacing w:val="0"/>
                <w:w w:val="100"/>
                <w:position w:val="0"/>
                <w:sz w:val="18"/>
                <w:szCs w:val="18"/>
              </w:rPr>
              <w:t>号）《江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苏省城市绿化管理条例》</w:t>
            </w:r>
          </w:p>
        </w:tc>
        <w:tc>
          <w:tcPr>
            <w:tcW w:w="115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715" w:hRule="exact"/>
          <w:jc w:val="center"/>
        </w:trPr>
        <w:tc>
          <w:tcPr>
            <w:tcW w:w="5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28</w:t>
            </w:r>
          </w:p>
        </w:tc>
        <w:tc>
          <w:tcPr>
            <w:tcW w:w="115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sz w:val="10"/>
                <w:szCs w:val="10"/>
              </w:rPr>
            </w:pP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医保证明</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公共服务</w:t>
            </w:r>
          </w:p>
        </w:tc>
        <w:tc>
          <w:tcPr>
            <w:tcW w:w="3931"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《中华人民共和国社会保险法》</w:t>
            </w:r>
          </w:p>
        </w:tc>
        <w:tc>
          <w:tcPr>
            <w:tcW w:w="1152" w:type="dxa"/>
            <w:vMerge w:val="restart"/>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医保局</w:t>
            </w: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18"/>
                <w:szCs w:val="18"/>
              </w:rPr>
              <w:t>项）</w:t>
            </w:r>
          </w:p>
        </w:tc>
      </w:tr>
      <w:tr>
        <w:tblPrEx>
          <w:tblCellMar>
            <w:top w:w="0" w:type="dxa"/>
            <w:left w:w="10" w:type="dxa"/>
            <w:bottom w:w="0" w:type="dxa"/>
            <w:right w:w="10" w:type="dxa"/>
          </w:tblCellMar>
        </w:tblPrEx>
        <w:trPr>
          <w:trHeight w:val="778" w:hRule="exact"/>
          <w:jc w:val="center"/>
        </w:trPr>
        <w:tc>
          <w:tcPr>
            <w:tcW w:w="5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29</w:t>
            </w:r>
          </w:p>
        </w:tc>
        <w:tc>
          <w:tcPr>
            <w:tcW w:w="115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sz w:val="10"/>
                <w:szCs w:val="10"/>
              </w:rPr>
            </w:pP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84" w:lineRule="exact"/>
              <w:ind w:left="0" w:right="0" w:firstLine="0"/>
              <w:jc w:val="center"/>
              <w:textAlignment w:val="auto"/>
              <w:rPr>
                <w:sz w:val="18"/>
                <w:szCs w:val="18"/>
              </w:rPr>
            </w:pPr>
            <w:r>
              <w:rPr>
                <w:color w:val="000000"/>
                <w:spacing w:val="0"/>
                <w:w w:val="100"/>
                <w:position w:val="0"/>
                <w:sz w:val="18"/>
                <w:szCs w:val="18"/>
              </w:rPr>
              <w:t>城镇居民医疗保险办理</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公共服务</w:t>
            </w:r>
          </w:p>
        </w:tc>
        <w:tc>
          <w:tcPr>
            <w:tcW w:w="3931"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各地有关城镇居民医疗保险的规定</w:t>
            </w:r>
          </w:p>
        </w:tc>
        <w:tc>
          <w:tcPr>
            <w:tcW w:w="115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787" w:hRule="exact"/>
          <w:jc w:val="center"/>
        </w:trPr>
        <w:tc>
          <w:tcPr>
            <w:tcW w:w="5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30</w:t>
            </w:r>
          </w:p>
        </w:tc>
        <w:tc>
          <w:tcPr>
            <w:tcW w:w="1157" w:type="dxa"/>
            <w:tcBorders>
              <w:top w:val="single" w:color="auto" w:sz="4" w:space="0"/>
              <w:lef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rPr>
                <w:sz w:val="10"/>
                <w:szCs w:val="10"/>
              </w:rPr>
            </w:pP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84" w:lineRule="exact"/>
              <w:ind w:left="0" w:right="0" w:firstLine="0"/>
              <w:jc w:val="center"/>
              <w:textAlignment w:val="auto"/>
              <w:rPr>
                <w:sz w:val="18"/>
                <w:szCs w:val="18"/>
              </w:rPr>
            </w:pPr>
            <w:r>
              <w:rPr>
                <w:color w:val="000000"/>
                <w:spacing w:val="0"/>
                <w:w w:val="100"/>
                <w:position w:val="0"/>
                <w:sz w:val="18"/>
                <w:szCs w:val="18"/>
              </w:rPr>
              <w:t>小额医疗保险费用现金报销</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公共服务</w:t>
            </w:r>
          </w:p>
        </w:tc>
        <w:tc>
          <w:tcPr>
            <w:tcW w:w="3931"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各地有关保险费用报销的规定</w:t>
            </w:r>
          </w:p>
        </w:tc>
        <w:tc>
          <w:tcPr>
            <w:tcW w:w="1152" w:type="dxa"/>
            <w:vMerge w:val="continue"/>
            <w:tcBorders>
              <w:left w:val="single" w:color="auto" w:sz="4" w:space="0"/>
              <w:right w:val="single" w:color="auto" w:sz="4"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after="0"/>
              <w:ind w:left="0" w:firstLine="0"/>
              <w:jc w:val="center"/>
              <w:textAlignment w:val="auto"/>
            </w:pPr>
          </w:p>
        </w:tc>
      </w:tr>
      <w:tr>
        <w:tblPrEx>
          <w:tblCellMar>
            <w:top w:w="0" w:type="dxa"/>
            <w:left w:w="10" w:type="dxa"/>
            <w:bottom w:w="0" w:type="dxa"/>
            <w:right w:w="10" w:type="dxa"/>
          </w:tblCellMar>
        </w:tblPrEx>
        <w:trPr>
          <w:trHeight w:val="1666" w:hRule="exact"/>
          <w:jc w:val="center"/>
        </w:trPr>
        <w:tc>
          <w:tcPr>
            <w:tcW w:w="5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31</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100179000</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4" w:lineRule="exact"/>
              <w:ind w:left="0" w:right="0" w:firstLine="0"/>
              <w:jc w:val="center"/>
              <w:textAlignment w:val="auto"/>
              <w:rPr>
                <w:sz w:val="18"/>
                <w:szCs w:val="18"/>
              </w:rPr>
            </w:pPr>
            <w:r>
              <w:rPr>
                <w:color w:val="000000"/>
                <w:spacing w:val="0"/>
                <w:w w:val="100"/>
                <w:position w:val="0"/>
                <w:sz w:val="18"/>
                <w:szCs w:val="18"/>
              </w:rPr>
              <w:t>环境卫生设施拆迁方案的批准</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31"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81" w:lineRule="exact"/>
              <w:ind w:left="0" w:right="0" w:firstLine="0"/>
              <w:jc w:val="center"/>
              <w:textAlignment w:val="auto"/>
              <w:rPr>
                <w:sz w:val="18"/>
                <w:szCs w:val="18"/>
              </w:rPr>
            </w:pPr>
            <w:r>
              <w:rPr>
                <w:color w:val="000000"/>
                <w:spacing w:val="0"/>
                <w:w w:val="100"/>
                <w:position w:val="0"/>
                <w:sz w:val="18"/>
                <w:szCs w:val="18"/>
              </w:rPr>
              <w:t>《城市市容和环境卫生管理条例》（国务院令第</w:t>
            </w:r>
            <w:r>
              <w:rPr>
                <w:rFonts w:ascii="Times New Roman" w:hAnsi="Times New Roman" w:eastAsia="Times New Roman" w:cs="Times New Roman"/>
                <w:color w:val="000000"/>
                <w:spacing w:val="0"/>
                <w:w w:val="100"/>
                <w:position w:val="0"/>
                <w:sz w:val="20"/>
                <w:szCs w:val="20"/>
              </w:rPr>
              <w:t>101</w:t>
            </w:r>
            <w:r>
              <w:rPr>
                <w:color w:val="000000"/>
                <w:spacing w:val="0"/>
                <w:w w:val="100"/>
                <w:position w:val="0"/>
                <w:sz w:val="18"/>
                <w:szCs w:val="18"/>
              </w:rPr>
              <w:t>号，</w:t>
            </w:r>
            <w:r>
              <w:rPr>
                <w:rFonts w:ascii="Times New Roman" w:hAnsi="Times New Roman" w:eastAsia="Times New Roman" w:cs="Times New Roman"/>
                <w:color w:val="000000"/>
                <w:spacing w:val="0"/>
                <w:w w:val="100"/>
                <w:position w:val="0"/>
                <w:sz w:val="20"/>
                <w:szCs w:val="20"/>
              </w:rPr>
              <w:t>2011</w:t>
            </w:r>
            <w:r>
              <w:rPr>
                <w:color w:val="000000"/>
                <w:spacing w:val="0"/>
                <w:w w:val="100"/>
                <w:position w:val="0"/>
                <w:sz w:val="18"/>
                <w:szCs w:val="18"/>
              </w:rPr>
              <w:t>年</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18"/>
                <w:szCs w:val="18"/>
              </w:rPr>
              <w:t>月</w:t>
            </w:r>
            <w:r>
              <w:rPr>
                <w:rFonts w:ascii="Times New Roman" w:hAnsi="Times New Roman" w:eastAsia="Times New Roman" w:cs="Times New Roman"/>
                <w:color w:val="000000"/>
                <w:spacing w:val="0"/>
                <w:w w:val="100"/>
                <w:position w:val="0"/>
                <w:sz w:val="20"/>
                <w:szCs w:val="20"/>
              </w:rPr>
              <w:t>8</w:t>
            </w:r>
            <w:r>
              <w:rPr>
                <w:color w:val="000000"/>
                <w:spacing w:val="0"/>
                <w:w w:val="100"/>
                <w:position w:val="0"/>
                <w:sz w:val="18"/>
                <w:szCs w:val="18"/>
              </w:rPr>
              <w:t>日根据《国务院关于废止和修改部分行政法规的决定》修正）《江苏省城市市容和环境卫生管理</w:t>
            </w:r>
            <w:r>
              <w:rPr>
                <w:color w:val="000000"/>
                <w:spacing w:val="0"/>
                <w:w w:val="100"/>
                <w:position w:val="0"/>
                <w:sz w:val="18"/>
                <w:szCs w:val="18"/>
                <w:lang w:val="zh-CN" w:eastAsia="zh-CN" w:bidi="zh-CN"/>
              </w:rPr>
              <w:t>条例》</w:t>
            </w:r>
          </w:p>
        </w:tc>
        <w:tc>
          <w:tcPr>
            <w:tcW w:w="1152" w:type="dxa"/>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7" w:lineRule="exact"/>
              <w:ind w:left="0" w:right="0" w:firstLine="0"/>
              <w:jc w:val="center"/>
              <w:textAlignment w:val="auto"/>
              <w:rPr>
                <w:sz w:val="18"/>
                <w:szCs w:val="18"/>
              </w:rPr>
            </w:pPr>
            <w:r>
              <w:rPr>
                <w:color w:val="000000"/>
                <w:spacing w:val="0"/>
                <w:w w:val="100"/>
                <w:position w:val="0"/>
                <w:sz w:val="18"/>
                <w:szCs w:val="18"/>
              </w:rPr>
              <w:t xml:space="preserve">综合执法局 </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18"/>
                <w:szCs w:val="18"/>
              </w:rPr>
              <w:t>项）</w:t>
            </w:r>
          </w:p>
        </w:tc>
      </w:tr>
      <w:tr>
        <w:tblPrEx>
          <w:tblCellMar>
            <w:top w:w="0" w:type="dxa"/>
            <w:left w:w="10" w:type="dxa"/>
            <w:bottom w:w="0" w:type="dxa"/>
            <w:right w:w="10" w:type="dxa"/>
          </w:tblCellMar>
        </w:tblPrEx>
        <w:trPr>
          <w:trHeight w:val="965" w:hRule="exact"/>
          <w:jc w:val="center"/>
        </w:trPr>
        <w:tc>
          <w:tcPr>
            <w:tcW w:w="55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32</w:t>
            </w:r>
          </w:p>
        </w:tc>
        <w:tc>
          <w:tcPr>
            <w:tcW w:w="1157"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100257001</w:t>
            </w:r>
          </w:p>
        </w:tc>
        <w:tc>
          <w:tcPr>
            <w:tcW w:w="1810"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初步设计文件审批</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（水利项目）</w:t>
            </w:r>
          </w:p>
        </w:tc>
        <w:tc>
          <w:tcPr>
            <w:tcW w:w="922"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行政许可</w:t>
            </w:r>
          </w:p>
        </w:tc>
        <w:tc>
          <w:tcPr>
            <w:tcW w:w="3931" w:type="dxa"/>
            <w:tcBorders>
              <w:top w:val="single" w:color="auto" w:sz="4" w:space="0"/>
              <w:lef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0" w:lineRule="exact"/>
              <w:ind w:left="0" w:right="0" w:firstLine="0"/>
              <w:jc w:val="center"/>
              <w:textAlignment w:val="auto"/>
              <w:rPr>
                <w:sz w:val="18"/>
                <w:szCs w:val="18"/>
              </w:rPr>
            </w:pPr>
            <w:r>
              <w:rPr>
                <w:color w:val="000000"/>
                <w:spacing w:val="0"/>
                <w:w w:val="100"/>
                <w:position w:val="0"/>
                <w:sz w:val="18"/>
                <w:szCs w:val="18"/>
              </w:rPr>
              <w:t>《国务院对确需保留的行政审批项目设定行政许可的决定》（国务院令第</w:t>
            </w:r>
            <w:r>
              <w:rPr>
                <w:rFonts w:ascii="Times New Roman" w:hAnsi="Times New Roman" w:eastAsia="Times New Roman" w:cs="Times New Roman"/>
                <w:color w:val="000000"/>
                <w:spacing w:val="0"/>
                <w:w w:val="100"/>
                <w:position w:val="0"/>
                <w:sz w:val="20"/>
                <w:szCs w:val="20"/>
              </w:rPr>
              <w:t>412</w:t>
            </w:r>
            <w:r>
              <w:rPr>
                <w:color w:val="000000"/>
                <w:spacing w:val="0"/>
                <w:w w:val="100"/>
                <w:position w:val="0"/>
                <w:sz w:val="18"/>
                <w:szCs w:val="18"/>
              </w:rPr>
              <w:t>号）</w:t>
            </w:r>
          </w:p>
        </w:tc>
        <w:tc>
          <w:tcPr>
            <w:tcW w:w="1152" w:type="dxa"/>
            <w:tcBorders>
              <w:top w:val="single" w:color="auto" w:sz="4" w:space="0"/>
              <w:left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color w:val="000000"/>
                <w:spacing w:val="0"/>
                <w:w w:val="100"/>
                <w:position w:val="0"/>
                <w:sz w:val="18"/>
                <w:szCs w:val="18"/>
              </w:rPr>
              <w:t>水利局</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18"/>
                <w:szCs w:val="18"/>
              </w:rPr>
              <w:t>项</w:t>
            </w:r>
            <w:r>
              <w:rPr>
                <w:color w:val="000000"/>
                <w:spacing w:val="0"/>
                <w:w w:val="100"/>
                <w:position w:val="0"/>
                <w:sz w:val="20"/>
                <w:szCs w:val="20"/>
              </w:rPr>
              <w:t>）</w:t>
            </w:r>
          </w:p>
        </w:tc>
      </w:tr>
      <w:tr>
        <w:tblPrEx>
          <w:tblCellMar>
            <w:top w:w="0" w:type="dxa"/>
            <w:left w:w="10" w:type="dxa"/>
            <w:bottom w:w="0" w:type="dxa"/>
            <w:right w:w="10" w:type="dxa"/>
          </w:tblCellMar>
        </w:tblPrEx>
        <w:trPr>
          <w:trHeight w:val="1718" w:hRule="exact"/>
          <w:jc w:val="center"/>
        </w:trPr>
        <w:tc>
          <w:tcPr>
            <w:tcW w:w="552"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33</w:t>
            </w:r>
          </w:p>
        </w:tc>
        <w:tc>
          <w:tcPr>
            <w:tcW w:w="1157"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20"/>
                <w:szCs w:val="20"/>
              </w:rPr>
            </w:pPr>
            <w:r>
              <w:rPr>
                <w:rFonts w:ascii="Times New Roman" w:hAnsi="Times New Roman" w:eastAsia="Times New Roman" w:cs="Times New Roman"/>
                <w:color w:val="000000"/>
                <w:spacing w:val="0"/>
                <w:w w:val="100"/>
                <w:position w:val="0"/>
                <w:sz w:val="20"/>
                <w:szCs w:val="20"/>
              </w:rPr>
              <w:t>400025000</w:t>
            </w:r>
          </w:p>
        </w:tc>
        <w:tc>
          <w:tcPr>
            <w:tcW w:w="1810"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89" w:lineRule="exact"/>
              <w:ind w:left="0" w:right="0" w:firstLine="0"/>
              <w:jc w:val="center"/>
              <w:textAlignment w:val="auto"/>
              <w:rPr>
                <w:sz w:val="18"/>
                <w:szCs w:val="18"/>
              </w:rPr>
            </w:pPr>
            <w:r>
              <w:rPr>
                <w:color w:val="000000"/>
                <w:spacing w:val="0"/>
                <w:w w:val="100"/>
                <w:position w:val="0"/>
                <w:sz w:val="18"/>
                <w:szCs w:val="18"/>
              </w:rPr>
              <w:t>城市基础设施配套费的征收</w:t>
            </w:r>
          </w:p>
        </w:tc>
        <w:tc>
          <w:tcPr>
            <w:tcW w:w="922"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sz w:val="18"/>
                <w:szCs w:val="18"/>
              </w:rPr>
            </w:pPr>
            <w:r>
              <w:rPr>
                <w:color w:val="000000"/>
                <w:spacing w:val="0"/>
                <w:w w:val="100"/>
                <w:position w:val="0"/>
                <w:sz w:val="18"/>
                <w:szCs w:val="18"/>
              </w:rPr>
              <w:t>行政征收</w:t>
            </w:r>
          </w:p>
        </w:tc>
        <w:tc>
          <w:tcPr>
            <w:tcW w:w="3931" w:type="dxa"/>
            <w:tcBorders>
              <w:top w:val="single" w:color="auto" w:sz="4" w:space="0"/>
              <w:left w:val="single" w:color="auto" w:sz="4" w:space="0"/>
              <w:bottom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8" w:lineRule="exact"/>
              <w:ind w:left="0" w:right="0" w:firstLine="0"/>
              <w:jc w:val="center"/>
              <w:textAlignment w:val="auto"/>
              <w:rPr>
                <w:sz w:val="18"/>
                <w:szCs w:val="18"/>
              </w:rPr>
            </w:pPr>
            <w:r>
              <w:rPr>
                <w:color w:val="000000"/>
                <w:spacing w:val="0"/>
                <w:w w:val="100"/>
                <w:position w:val="0"/>
                <w:sz w:val="18"/>
                <w:szCs w:val="18"/>
              </w:rPr>
              <w:t>《国务院批准国家计委关于加强房地产价格调控加快住房建设意见的通知》（国发〔</w:t>
            </w:r>
            <w:r>
              <w:rPr>
                <w:rFonts w:ascii="Times New Roman" w:hAnsi="Times New Roman" w:eastAsia="Times New Roman" w:cs="Times New Roman"/>
                <w:color w:val="000000"/>
                <w:spacing w:val="0"/>
                <w:w w:val="100"/>
                <w:position w:val="0"/>
                <w:sz w:val="20"/>
                <w:szCs w:val="20"/>
              </w:rPr>
              <w:t>1998</w:t>
            </w:r>
            <w:r>
              <w:rPr>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t>34</w:t>
            </w:r>
            <w:r>
              <w:rPr>
                <w:color w:val="000000"/>
                <w:spacing w:val="0"/>
                <w:w w:val="100"/>
                <w:position w:val="0"/>
                <w:sz w:val="18"/>
                <w:szCs w:val="18"/>
              </w:rPr>
              <w:t>号）《财政部关于城市基础设施配套费性质的批复》（财综函〔</w:t>
            </w:r>
            <w:r>
              <w:rPr>
                <w:rFonts w:ascii="Times New Roman" w:hAnsi="Times New Roman" w:eastAsia="Times New Roman" w:cs="Times New Roman"/>
                <w:color w:val="000000"/>
                <w:spacing w:val="0"/>
                <w:w w:val="100"/>
                <w:position w:val="0"/>
                <w:sz w:val="20"/>
                <w:szCs w:val="20"/>
              </w:rPr>
              <w:t>2002</w:t>
            </w:r>
            <w:r>
              <w:rPr>
                <w:color w:val="000000"/>
                <w:spacing w:val="0"/>
                <w:w w:val="100"/>
                <w:position w:val="0"/>
                <w:sz w:val="18"/>
                <w:szCs w:val="18"/>
              </w:rPr>
              <w:t>〕</w:t>
            </w:r>
            <w:r>
              <w:rPr>
                <w:rFonts w:ascii="Times New Roman" w:hAnsi="Times New Roman" w:eastAsia="Times New Roman" w:cs="Times New Roman"/>
                <w:color w:val="000000"/>
                <w:spacing w:val="0"/>
                <w:w w:val="100"/>
                <w:position w:val="0"/>
                <w:sz w:val="20"/>
                <w:szCs w:val="20"/>
              </w:rPr>
              <w:t>3</w:t>
            </w:r>
            <w:r>
              <w:rPr>
                <w:color w:val="000000"/>
                <w:spacing w:val="0"/>
                <w:w w:val="100"/>
                <w:position w:val="0"/>
                <w:sz w:val="18"/>
                <w:szCs w:val="18"/>
              </w:rPr>
              <w:t>号）</w:t>
            </w:r>
          </w:p>
        </w:tc>
        <w:tc>
          <w:tcPr>
            <w:tcW w:w="115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70" w:lineRule="exact"/>
              <w:ind w:left="0" w:right="0" w:firstLine="0"/>
              <w:jc w:val="center"/>
              <w:textAlignment w:val="auto"/>
              <w:rPr>
                <w:sz w:val="18"/>
                <w:szCs w:val="18"/>
              </w:rPr>
            </w:pPr>
            <w:r>
              <w:rPr>
                <w:color w:val="000000"/>
                <w:spacing w:val="0"/>
                <w:w w:val="100"/>
                <w:position w:val="0"/>
                <w:sz w:val="18"/>
                <w:szCs w:val="18"/>
              </w:rPr>
              <w:t>住建局 （</w:t>
            </w:r>
            <w:r>
              <w:rPr>
                <w:rFonts w:ascii="Times New Roman" w:hAnsi="Times New Roman" w:eastAsia="Times New Roman" w:cs="Times New Roman"/>
                <w:color w:val="000000"/>
                <w:spacing w:val="0"/>
                <w:w w:val="100"/>
                <w:position w:val="0"/>
                <w:sz w:val="20"/>
                <w:szCs w:val="20"/>
              </w:rPr>
              <w:t>1</w:t>
            </w:r>
            <w:r>
              <w:rPr>
                <w:color w:val="000000"/>
                <w:spacing w:val="0"/>
                <w:w w:val="100"/>
                <w:position w:val="0"/>
                <w:sz w:val="18"/>
                <w:szCs w:val="18"/>
              </w:rPr>
              <w:t>项）</w:t>
            </w:r>
          </w:p>
        </w:tc>
      </w:tr>
    </w:tbl>
    <w:p/>
    <w:p>
      <w:pPr>
        <w:rPr>
          <w:rFonts w:hint="default"/>
          <w:lang w:val="en-US" w:eastAsia="zh-CN"/>
        </w:rPr>
      </w:pPr>
      <w:bookmarkStart w:id="0" w:name="_GoBack"/>
      <w:bookmarkEnd w:id="0"/>
    </w:p>
    <w:sectPr>
      <w:pgSz w:w="11906" w:h="16838"/>
      <w:pgMar w:top="1418" w:right="1418" w:bottom="1418" w:left="1418" w:header="1134"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ascii="宋体" w:hAnsi="宋体" w:cs="宋体"/>
                              <w:w w:val="90"/>
                              <w:sz w:val="28"/>
                              <w:szCs w:val="28"/>
                            </w:rPr>
                          </w:pPr>
                          <w:r>
                            <w:rPr>
                              <w:rFonts w:hint="eastAsia" w:ascii="宋体" w:hAnsi="宋体" w:cs="宋体"/>
                              <w:w w:val="90"/>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w w:val="90"/>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rPr>
                        <w:rFonts w:hint="eastAsia" w:ascii="宋体" w:hAnsi="宋体" w:cs="宋体"/>
                        <w:w w:val="90"/>
                        <w:sz w:val="28"/>
                        <w:szCs w:val="28"/>
                      </w:rPr>
                    </w:pPr>
                    <w:r>
                      <w:rPr>
                        <w:rFonts w:hint="eastAsia" w:ascii="宋体" w:hAnsi="宋体" w:cs="宋体"/>
                        <w:w w:val="90"/>
                        <w:sz w:val="28"/>
                        <w:szCs w:val="28"/>
                      </w:rPr>
                      <w:t>—</w:t>
                    </w: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r>
                      <w:rPr>
                        <w:rFonts w:hint="eastAsia" w:ascii="宋体" w:hAnsi="宋体" w:cs="宋体"/>
                        <w:w w:val="90"/>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5925820</wp:posOffset>
              </wp:positionH>
              <wp:positionV relativeFrom="page">
                <wp:posOffset>9773285</wp:posOffset>
              </wp:positionV>
              <wp:extent cx="615950" cy="121920"/>
              <wp:effectExtent l="0" t="0" r="0" b="0"/>
              <wp:wrapNone/>
              <wp:docPr id="5" name="文本框 5"/>
              <wp:cNvGraphicFramePr/>
              <a:graphic xmlns:a="http://schemas.openxmlformats.org/drawingml/2006/main">
                <a:graphicData uri="http://schemas.microsoft.com/office/word/2010/wordprocessingShape">
                  <wps:wsp>
                    <wps:cNvSpPr txBox="1"/>
                    <wps:spPr>
                      <a:xfrm>
                        <a:off x="0" y="0"/>
                        <a:ext cx="615950" cy="121920"/>
                      </a:xfrm>
                      <a:prstGeom prst="rect">
                        <a:avLst/>
                      </a:prstGeom>
                      <a:noFill/>
                      <a:ln>
                        <a:noFill/>
                      </a:ln>
                      <a:effectLst/>
                    </wps:spPr>
                    <wps:txbx>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466.6pt;margin-top:769.55pt;height:9.6pt;width:48.5pt;mso-position-horizontal-relative:page;mso-position-vertical-relative:page;mso-wrap-style:none;z-index:-251656192;mso-width-relative:page;mso-height-relative:page;" filled="f" stroked="f" coordsize="21600,21600" o:gfxdata="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&#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37RgDYAAAADgEAAA8AAAAAAAAAAQAgAAAAIgAAAGRy&#10;cy9kb3ducmV2LnhtbFBLAQIUABQAAAAIAIdO4kCMgdSqzAEAAJkDAAAOAAAAAAAAAAEAIAAAACcB&#10;AABkcnMvZTJvRG9jLnhtbFBLBQYAAAAABgAGAFkBAABlBQAAAAA=&#10;">
              <v:path/>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r>
                      <w:rPr>
                        <w:rFonts w:ascii="Times New Roman" w:hAnsi="Times New Roman" w:eastAsia="Times New Roman" w:cs="Times New Roman"/>
                        <w:color w:val="000000"/>
                        <w:spacing w:val="0"/>
                        <w:w w:val="100"/>
                        <w:position w:val="0"/>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1304925</wp:posOffset>
              </wp:positionH>
              <wp:positionV relativeFrom="page">
                <wp:posOffset>9730740</wp:posOffset>
              </wp:positionV>
              <wp:extent cx="615950" cy="121920"/>
              <wp:effectExtent l="0" t="0" r="0" b="0"/>
              <wp:wrapNone/>
              <wp:docPr id="7" name="文本框 7"/>
              <wp:cNvGraphicFramePr/>
              <a:graphic xmlns:a="http://schemas.openxmlformats.org/drawingml/2006/main">
                <a:graphicData uri="http://schemas.microsoft.com/office/word/2010/wordprocessingShape">
                  <wps:wsp>
                    <wps:cNvSpPr txBox="1"/>
                    <wps:spPr>
                      <a:xfrm>
                        <a:off x="0" y="0"/>
                        <a:ext cx="615950" cy="121920"/>
                      </a:xfrm>
                      <a:prstGeom prst="rect">
                        <a:avLst/>
                      </a:prstGeom>
                      <a:noFill/>
                      <a:ln>
                        <a:noFill/>
                      </a:ln>
                      <a:effectLst/>
                    </wps:spPr>
                    <wps:txbx>
                      <w:txbxContent>
                        <w:p>
                          <w:pPr>
                            <w:pStyle w:val="9"/>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color w:val="000000"/>
                              <w:spacing w:val="0"/>
                              <w:w w:val="100"/>
                              <w:position w:val="0"/>
                              <w:sz w:val="20"/>
                              <w:szCs w:val="20"/>
                            </w:rPr>
                            <w:t xml:space="preserve">一 </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r>
                            <w:rPr>
                              <w:rFonts w:ascii="宋体" w:hAnsi="宋体" w:eastAsia="宋体" w:cs="宋体"/>
                              <w:color w:val="000000"/>
                              <w:spacing w:val="0"/>
                              <w:w w:val="100"/>
                              <w:position w:val="0"/>
                              <w:sz w:val="20"/>
                              <w:szCs w:val="20"/>
                            </w:rPr>
                            <w:t>一</w:t>
                          </w:r>
                        </w:p>
                      </w:txbxContent>
                    </wps:txbx>
                    <wps:bodyPr wrap="none" lIns="0" tIns="0" rIns="0" bIns="0">
                      <a:spAutoFit/>
                    </wps:bodyPr>
                  </wps:wsp>
                </a:graphicData>
              </a:graphic>
            </wp:anchor>
          </w:drawing>
        </mc:Choice>
        <mc:Fallback>
          <w:pict>
            <v:shape id="_x0000_s1026" o:spid="_x0000_s1026" o:spt="202" type="#_x0000_t202" style="position:absolute;left:0pt;margin-left:102.75pt;margin-top:766.2pt;height:9.6pt;width:48.5pt;mso-position-horizontal-relative:page;mso-position-vertical-relative:page;mso-wrap-style:none;z-index:-251657216;mso-width-relative:page;mso-height-relative:page;" filled="f" stroked="f" coordsize="21600,21600" o:gfxdata="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&#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8jZwPXAAAADQEAAA8AAAAAAAAAAQAgAAAAIgAAAGRy&#10;cy9kb3ducmV2LnhtbFBLAQIUABQAAAAIAIdO4kBsTLrFzQEAAJkDAAAOAAAAAAAAAAEAIAAAACYB&#10;AABkcnMvZTJvRG9jLnhtbFBLBQYAAAAABgAGAFkBAABlBQAAAAA=&#10;">
              <v:path/>
              <v:fill on="f" focussize="0,0"/>
              <v:stroke on="f"/>
              <v:imagedata o:title=""/>
              <o:lock v:ext="edit" aspectratio="f"/>
              <v:textbox inset="0mm,0mm,0mm,0mm" style="mso-fit-shape-to-text:t;">
                <w:txbxContent>
                  <w:p>
                    <w:pPr>
                      <w:pStyle w:val="9"/>
                      <w:keepNext w:val="0"/>
                      <w:keepLines w:val="0"/>
                      <w:widowControl w:val="0"/>
                      <w:shd w:val="clear" w:color="auto" w:fill="auto"/>
                      <w:bidi w:val="0"/>
                      <w:spacing w:before="0" w:after="0" w:line="240" w:lineRule="auto"/>
                      <w:ind w:left="0" w:right="0" w:firstLine="0"/>
                      <w:jc w:val="left"/>
                      <w:rPr>
                        <w:sz w:val="20"/>
                        <w:szCs w:val="20"/>
                      </w:rPr>
                    </w:pPr>
                    <w:r>
                      <w:rPr>
                        <w:rFonts w:ascii="宋体" w:hAnsi="宋体" w:eastAsia="宋体" w:cs="宋体"/>
                        <w:color w:val="000000"/>
                        <w:spacing w:val="0"/>
                        <w:w w:val="100"/>
                        <w:position w:val="0"/>
                        <w:sz w:val="20"/>
                        <w:szCs w:val="20"/>
                      </w:rPr>
                      <w:t xml:space="preserve">一 </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r>
                      <w:rPr>
                        <w:rFonts w:ascii="宋体" w:hAnsi="宋体" w:eastAsia="宋体" w:cs="宋体"/>
                        <w:color w:val="000000"/>
                        <w:spacing w:val="0"/>
                        <w:w w:val="100"/>
                        <w:position w:val="0"/>
                        <w:sz w:val="20"/>
                        <w:szCs w:val="20"/>
                      </w:rPr>
                      <w:t>一</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1312" behindDoc="1" locked="0" layoutInCell="1" allowOverlap="1">
              <wp:simplePos x="0" y="0"/>
              <wp:positionH relativeFrom="page">
                <wp:posOffset>1263015</wp:posOffset>
              </wp:positionH>
              <wp:positionV relativeFrom="page">
                <wp:posOffset>9760585</wp:posOffset>
              </wp:positionV>
              <wp:extent cx="612775" cy="125095"/>
              <wp:effectExtent l="0" t="0" r="0" b="0"/>
              <wp:wrapNone/>
              <wp:docPr id="9" name="文本框 9"/>
              <wp:cNvGraphicFramePr/>
              <a:graphic xmlns:a="http://schemas.openxmlformats.org/drawingml/2006/main">
                <a:graphicData uri="http://schemas.microsoft.com/office/word/2010/wordprocessingShape">
                  <wps:wsp>
                    <wps:cNvSpPr txBox="1"/>
                    <wps:spPr>
                      <a:xfrm>
                        <a:off x="0" y="0"/>
                        <a:ext cx="612775" cy="125095"/>
                      </a:xfrm>
                      <a:prstGeom prst="rect">
                        <a:avLst/>
                      </a:prstGeom>
                      <a:noFill/>
                      <a:ln>
                        <a:noFill/>
                      </a:ln>
                      <a:effectLst/>
                    </wps:spPr>
                    <wps:txbx>
                      <w:txbxContent>
                        <w:p>
                          <w:pPr>
                            <w:pStyle w:val="10"/>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 xml:space="preserve">一 </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r>
                            <w:rPr>
                              <w:rFonts w:ascii="宋体" w:hAnsi="宋体" w:eastAsia="宋体" w:cs="宋体"/>
                              <w:color w:val="000000"/>
                              <w:spacing w:val="0"/>
                              <w:w w:val="100"/>
                              <w:position w:val="0"/>
                            </w:rPr>
                            <w:t>一</w:t>
                          </w:r>
                        </w:p>
                      </w:txbxContent>
                    </wps:txbx>
                    <wps:bodyPr wrap="none" lIns="0" tIns="0" rIns="0" bIns="0">
                      <a:spAutoFit/>
                    </wps:bodyPr>
                  </wps:wsp>
                </a:graphicData>
              </a:graphic>
            </wp:anchor>
          </w:drawing>
        </mc:Choice>
        <mc:Fallback>
          <w:pict>
            <v:shape id="_x0000_s1026" o:spid="_x0000_s1026" o:spt="202" type="#_x0000_t202" style="position:absolute;left:0pt;margin-left:99.45pt;margin-top:768.55pt;height:9.85pt;width:48.25pt;mso-position-horizontal-relative:page;mso-position-vertical-relative:page;mso-wrap-style:none;z-index:-251655168;mso-width-relative:page;mso-height-relative:page;" filled="f" stroked="f" coordsize="21600,21600" o:gfxdata="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InUUU2QAAAA0BAAAPAAAAAAAAAAEAIAAAACIAAABk&#10;cnMvZG93bnJldi54bWxQSwECFAAUAAAACACHTuJA+TXQrswBAACZAwAADgAAAAAAAAABACAAAAAo&#10;AQAAZHJzL2Uyb0RvYy54bWxQSwUGAAAAAAYABgBZAQAAZgUAAAAA&#10;">
              <v:path/>
              <v:fill on="f" focussize="0,0"/>
              <v:stroke on="f"/>
              <v:imagedata o:title=""/>
              <o:lock v:ext="edit" aspectratio="f"/>
              <v:textbox inset="0mm,0mm,0mm,0mm" style="mso-fit-shape-to-text:t;">
                <w:txbxContent>
                  <w:p>
                    <w:pPr>
                      <w:pStyle w:val="10"/>
                      <w:keepNext w:val="0"/>
                      <w:keepLines w:val="0"/>
                      <w:widowControl w:val="0"/>
                      <w:shd w:val="clear" w:color="auto" w:fill="auto"/>
                      <w:bidi w:val="0"/>
                      <w:spacing w:before="0" w:after="0" w:line="240" w:lineRule="auto"/>
                      <w:ind w:left="0" w:right="0" w:firstLine="0"/>
                      <w:jc w:val="left"/>
                    </w:pPr>
                    <w:r>
                      <w:rPr>
                        <w:rFonts w:ascii="宋体" w:hAnsi="宋体" w:eastAsia="宋体" w:cs="宋体"/>
                        <w:color w:val="000000"/>
                        <w:spacing w:val="0"/>
                        <w:w w:val="100"/>
                        <w:position w:val="0"/>
                      </w:rPr>
                      <w:t xml:space="preserve">一 </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fldChar w:fldCharType="end"/>
                    </w:r>
                    <w:r>
                      <w:rPr>
                        <w:rFonts w:ascii="Times New Roman" w:hAnsi="Times New Roman" w:eastAsia="Times New Roman" w:cs="Times New Roman"/>
                        <w:color w:val="000000"/>
                        <w:spacing w:val="0"/>
                        <w:w w:val="100"/>
                        <w:position w:val="0"/>
                        <w:sz w:val="28"/>
                        <w:szCs w:val="28"/>
                      </w:rPr>
                      <w:t xml:space="preserve"> </w:t>
                    </w:r>
                    <w:r>
                      <w:rPr>
                        <w:rFonts w:ascii="宋体" w:hAnsi="宋体" w:eastAsia="宋体" w:cs="宋体"/>
                        <w:color w:val="000000"/>
                        <w:spacing w:val="0"/>
                        <w:w w:val="100"/>
                        <w:position w:val="0"/>
                      </w:rPr>
                      <w:t>一</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0353C1"/>
    <w:rsid w:val="6D0353C1"/>
    <w:rsid w:val="79183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7">
    <w:name w:val="font61"/>
    <w:basedOn w:val="6"/>
    <w:uiPriority w:val="0"/>
    <w:rPr>
      <w:rFonts w:ascii="方正仿宋_GBK" w:hAnsi="方正仿宋_GBK" w:eastAsia="方正仿宋_GBK" w:cs="方正仿宋_GBK"/>
      <w:color w:val="000000"/>
      <w:sz w:val="26"/>
      <w:szCs w:val="26"/>
      <w:u w:val="none"/>
    </w:rPr>
  </w:style>
  <w:style w:type="paragraph" w:customStyle="1" w:styleId="8">
    <w:name w:val="Other|1"/>
    <w:basedOn w:val="1"/>
    <w:qFormat/>
    <w:uiPriority w:val="0"/>
    <w:pPr>
      <w:widowControl w:val="0"/>
      <w:shd w:val="clear" w:color="auto" w:fill="auto"/>
      <w:spacing w:line="432" w:lineRule="auto"/>
      <w:ind w:firstLine="400"/>
    </w:pPr>
    <w:rPr>
      <w:rFonts w:ascii="宋体" w:hAnsi="宋体" w:eastAsia="宋体" w:cs="宋体"/>
      <w:sz w:val="28"/>
      <w:szCs w:val="28"/>
      <w:u w:val="none"/>
      <w:shd w:val="clear" w:color="auto" w:fill="auto"/>
      <w:lang w:val="zh-TW" w:eastAsia="zh-TW" w:bidi="zh-TW"/>
    </w:rPr>
  </w:style>
  <w:style w:type="paragraph" w:customStyle="1" w:styleId="9">
    <w:name w:val="Header or footer|1"/>
    <w:basedOn w:val="1"/>
    <w:qFormat/>
    <w:uiPriority w:val="0"/>
    <w:pPr>
      <w:widowControl w:val="0"/>
      <w:shd w:val="clear" w:color="auto" w:fill="auto"/>
    </w:pPr>
    <w:rPr>
      <w:sz w:val="28"/>
      <w:szCs w:val="28"/>
      <w:u w:val="none"/>
      <w:shd w:val="clear" w:color="auto" w:fill="auto"/>
      <w:lang w:val="zh-TW" w:eastAsia="zh-TW" w:bidi="zh-TW"/>
    </w:rPr>
  </w:style>
  <w:style w:type="paragraph" w:customStyle="1" w:styleId="10">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2020-11-04T12:49:00Z</dcterms:created>
  <dc:creator>县行政审批局</dc:creator>
  <cp:lastModifiedBy>王念念</cp:lastModifiedBy>
  <dcterms:modified xsi:type="dcterms:W3CDTF">2021-10-19T05:55:25Z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B1FC3E0AA98041C581A0CD74B2F02E29</vt:lpwstr>
  </property>
</Properties>
</file>