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A6" w:rsidRPr="00876F3E" w:rsidRDefault="00390CDF" w:rsidP="00876F3E">
      <w:pPr>
        <w:spacing w:line="540" w:lineRule="auto"/>
        <w:jc w:val="center"/>
        <w:rPr>
          <w:rFonts w:ascii="方正小标宋简体" w:eastAsia="方正小标宋简体" w:hAnsi="黑体" w:hint="eastAsia"/>
          <w:bCs/>
          <w:sz w:val="44"/>
          <w:szCs w:val="44"/>
        </w:rPr>
      </w:pPr>
      <w:r w:rsidRPr="00876F3E">
        <w:rPr>
          <w:rFonts w:ascii="方正小标宋简体" w:eastAsia="方正小标宋简体" w:hAnsi="黑体" w:hint="eastAsia"/>
          <w:bCs/>
          <w:sz w:val="44"/>
          <w:szCs w:val="44"/>
        </w:rPr>
        <w:t>灌南县融合教育资源</w:t>
      </w:r>
      <w:r w:rsidR="000C7BB1" w:rsidRPr="00876F3E">
        <w:rPr>
          <w:rFonts w:ascii="方正小标宋简体" w:eastAsia="方正小标宋简体" w:hAnsi="黑体" w:hint="eastAsia"/>
          <w:bCs/>
          <w:sz w:val="44"/>
          <w:szCs w:val="44"/>
        </w:rPr>
        <w:t>中心</w:t>
      </w:r>
      <w:r w:rsidRPr="00876F3E">
        <w:rPr>
          <w:rFonts w:ascii="方正小标宋简体" w:eastAsia="方正小标宋简体" w:hAnsi="黑体" w:hint="eastAsia"/>
          <w:bCs/>
          <w:sz w:val="44"/>
          <w:szCs w:val="44"/>
        </w:rPr>
        <w:t>设备补充采购项目</w:t>
      </w:r>
    </w:p>
    <w:p w:rsidR="001850A6" w:rsidRDefault="00390CDF">
      <w:pPr>
        <w:rPr>
          <w:rFonts w:ascii="华文宋体" w:eastAsia="华文宋体" w:hAnsi="华文宋体"/>
          <w:sz w:val="28"/>
          <w:szCs w:val="28"/>
        </w:rPr>
      </w:pPr>
      <w:r>
        <w:rPr>
          <w:rFonts w:ascii="华文宋体" w:eastAsia="华文宋体" w:hAnsi="华文宋体" w:hint="eastAsia"/>
          <w:sz w:val="28"/>
          <w:szCs w:val="28"/>
        </w:rPr>
        <w:t xml:space="preserve"> </w:t>
      </w:r>
    </w:p>
    <w:p w:rsidR="001850A6" w:rsidRPr="00876F3E" w:rsidRDefault="00390CDF">
      <w:pPr>
        <w:ind w:firstLineChars="200" w:firstLine="560"/>
        <w:rPr>
          <w:rFonts w:ascii="黑体" w:eastAsia="黑体" w:hAnsi="黑体"/>
          <w:sz w:val="28"/>
          <w:szCs w:val="28"/>
        </w:rPr>
      </w:pPr>
      <w:r w:rsidRPr="00876F3E">
        <w:rPr>
          <w:rFonts w:ascii="黑体" w:eastAsia="黑体" w:hAnsi="黑体" w:hint="eastAsia"/>
          <w:sz w:val="28"/>
          <w:szCs w:val="28"/>
        </w:rPr>
        <w:t>一、项目概况</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项目名称：</w:t>
      </w:r>
      <w:r w:rsidR="00CC72B9" w:rsidRPr="00876F3E">
        <w:rPr>
          <w:rFonts w:ascii="仿宋_GB2312" w:eastAsia="仿宋_GB2312" w:hAnsi="华文宋体" w:hint="eastAsia"/>
          <w:sz w:val="32"/>
          <w:szCs w:val="28"/>
        </w:rPr>
        <w:t>灌南县融合教育资源中心设备补充采购</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交付地点：</w:t>
      </w:r>
      <w:r w:rsidR="00CC72B9" w:rsidRPr="00876F3E">
        <w:rPr>
          <w:rFonts w:ascii="仿宋_GB2312" w:eastAsia="仿宋_GB2312" w:hAnsi="华文宋体" w:hint="eastAsia"/>
          <w:sz w:val="32"/>
          <w:szCs w:val="28"/>
        </w:rPr>
        <w:t>送到16个资源中心</w:t>
      </w:r>
      <w:r w:rsidR="000A3629" w:rsidRPr="00876F3E">
        <w:rPr>
          <w:rFonts w:ascii="仿宋_GB2312" w:eastAsia="仿宋_GB2312" w:hAnsi="华文宋体" w:hint="eastAsia"/>
          <w:sz w:val="32"/>
          <w:szCs w:val="28"/>
        </w:rPr>
        <w:t>校</w:t>
      </w:r>
      <w:r w:rsidR="00CC72B9" w:rsidRPr="00876F3E">
        <w:rPr>
          <w:rFonts w:ascii="仿宋_GB2312" w:eastAsia="仿宋_GB2312" w:hAnsi="华文宋体" w:hint="eastAsia"/>
          <w:sz w:val="32"/>
          <w:szCs w:val="28"/>
        </w:rPr>
        <w:t>，由学校接受。</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项目清单：（具体见附件）</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计划工期：</w:t>
      </w:r>
      <w:r w:rsidR="00CC72B9" w:rsidRPr="00876F3E">
        <w:rPr>
          <w:rFonts w:ascii="仿宋_GB2312" w:eastAsia="仿宋_GB2312" w:hAnsi="华文宋体" w:hint="eastAsia"/>
          <w:sz w:val="32"/>
          <w:szCs w:val="28"/>
        </w:rPr>
        <w:t>合同签订起10日内设备交付安装完毕。</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质量要求：合格（达到国家工程质量验收的规范和标准）</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黑体" w:eastAsia="黑体" w:hAnsi="黑体" w:hint="eastAsia"/>
          <w:sz w:val="32"/>
          <w:szCs w:val="28"/>
        </w:rPr>
        <w:t>二、采购方式</w:t>
      </w:r>
      <w:r w:rsidRPr="00876F3E">
        <w:rPr>
          <w:rFonts w:ascii="仿宋_GB2312" w:eastAsia="仿宋_GB2312" w:hAnsi="华文宋体" w:hint="eastAsia"/>
          <w:sz w:val="32"/>
          <w:szCs w:val="28"/>
        </w:rPr>
        <w:t>：询价</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黑体" w:eastAsia="黑体" w:hAnsi="黑体" w:hint="eastAsia"/>
          <w:sz w:val="32"/>
          <w:szCs w:val="28"/>
        </w:rPr>
        <w:t>三、项目预算价</w:t>
      </w:r>
      <w:r w:rsidRPr="00876F3E">
        <w:rPr>
          <w:rFonts w:ascii="仿宋_GB2312" w:eastAsia="仿宋_GB2312" w:hAnsi="华文宋体" w:hint="eastAsia"/>
          <w:sz w:val="32"/>
          <w:szCs w:val="28"/>
        </w:rPr>
        <w:t>：本项目最高限价</w:t>
      </w:r>
      <w:r w:rsidR="0068773C" w:rsidRPr="00876F3E">
        <w:rPr>
          <w:rFonts w:ascii="仿宋_GB2312" w:eastAsia="仿宋_GB2312" w:hAnsi="华文宋体" w:hint="eastAsia"/>
          <w:sz w:val="32"/>
          <w:szCs w:val="28"/>
        </w:rPr>
        <w:t>10.6</w:t>
      </w:r>
      <w:r w:rsidR="00CC72B9" w:rsidRPr="00876F3E">
        <w:rPr>
          <w:rFonts w:ascii="仿宋_GB2312" w:eastAsia="仿宋_GB2312" w:hAnsi="华文宋体" w:hint="eastAsia"/>
          <w:sz w:val="32"/>
          <w:szCs w:val="28"/>
        </w:rPr>
        <w:t>万元人民币，报价超预算作废标处理，低价中标。</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黑体" w:eastAsia="黑体" w:hAnsi="黑体" w:hint="eastAsia"/>
          <w:sz w:val="32"/>
          <w:szCs w:val="28"/>
        </w:rPr>
        <w:t>四、报价供应商资质要求</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1．供应商具有独立订立合同的能力（提供营业执照复印件并加盖公章）；</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2．报价供应商未处于被责令停业、投标资格被取消或者财产被接管、冻结和破产状态；企业近三年在经营活动中没有重大违法记录行为；资格审查的重要内容没有失实或弄虚作假（提供承诺书原件）；</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3．报价供应商提供售后服务承诺书，售后服务期不低于一年（提供承诺书原件）；</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4．报价供应商提供下列之一：</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lastRenderedPageBreak/>
        <w:t>①投标文件均需加盖公章，一式三份，一正两副。</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②报价供应商提供法定代表人资格证明和身份证；（法人参加询价）</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③报价供应商提供授权委托书、身份证；（受托人参加询价）</w:t>
      </w:r>
    </w:p>
    <w:p w:rsidR="001850A6" w:rsidRPr="00876F3E" w:rsidRDefault="00876F3E" w:rsidP="00876F3E">
      <w:pPr>
        <w:ind w:left="640"/>
        <w:rPr>
          <w:rFonts w:ascii="黑体" w:eastAsia="黑体" w:hAnsi="黑体" w:hint="eastAsia"/>
          <w:sz w:val="32"/>
          <w:szCs w:val="28"/>
        </w:rPr>
      </w:pPr>
      <w:r w:rsidRPr="00876F3E">
        <w:rPr>
          <w:rFonts w:ascii="黑体" w:eastAsia="黑体" w:hAnsi="黑体" w:hint="eastAsia"/>
          <w:sz w:val="32"/>
          <w:szCs w:val="28"/>
        </w:rPr>
        <w:t>五、其他</w:t>
      </w:r>
    </w:p>
    <w:p w:rsidR="001850A6" w:rsidRPr="00876F3E" w:rsidRDefault="00390CDF">
      <w:pPr>
        <w:rPr>
          <w:rFonts w:ascii="仿宋_GB2312" w:eastAsia="仿宋_GB2312" w:hAnsi="华文宋体" w:hint="eastAsia"/>
          <w:b/>
          <w:bCs/>
          <w:sz w:val="32"/>
          <w:szCs w:val="28"/>
        </w:rPr>
      </w:pPr>
      <w:r w:rsidRPr="00876F3E">
        <w:rPr>
          <w:rFonts w:ascii="仿宋_GB2312" w:eastAsia="仿宋_GB2312" w:hAnsi="华文宋体" w:hint="eastAsia"/>
          <w:b/>
          <w:bCs/>
          <w:sz w:val="32"/>
          <w:szCs w:val="28"/>
        </w:rPr>
        <w:t>采购项目清单中“★”标识需提供检测报告原件核查。</w:t>
      </w:r>
    </w:p>
    <w:p w:rsidR="001850A6" w:rsidRPr="00876F3E" w:rsidRDefault="00876F3E" w:rsidP="00876F3E">
      <w:pPr>
        <w:ind w:firstLineChars="200" w:firstLine="640"/>
        <w:rPr>
          <w:rFonts w:ascii="黑体" w:eastAsia="黑体" w:hAnsi="黑体" w:hint="eastAsia"/>
          <w:sz w:val="32"/>
          <w:szCs w:val="28"/>
        </w:rPr>
      </w:pPr>
      <w:r w:rsidRPr="00876F3E">
        <w:rPr>
          <w:rFonts w:ascii="黑体" w:eastAsia="黑体" w:hAnsi="黑体" w:hint="eastAsia"/>
          <w:sz w:val="32"/>
          <w:szCs w:val="28"/>
        </w:rPr>
        <w:t>六、询价时间与地点</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时间：2021年</w:t>
      </w:r>
      <w:r w:rsidR="00CC72B9" w:rsidRPr="00876F3E">
        <w:rPr>
          <w:rFonts w:ascii="仿宋_GB2312" w:eastAsia="仿宋_GB2312" w:hAnsi="华文宋体" w:hint="eastAsia"/>
          <w:sz w:val="32"/>
          <w:szCs w:val="28"/>
        </w:rPr>
        <w:t>12</w:t>
      </w:r>
      <w:r w:rsidRPr="00876F3E">
        <w:rPr>
          <w:rFonts w:ascii="仿宋_GB2312" w:eastAsia="仿宋_GB2312" w:hAnsi="华文宋体" w:hint="eastAsia"/>
          <w:sz w:val="32"/>
          <w:szCs w:val="28"/>
        </w:rPr>
        <w:t>月</w:t>
      </w:r>
      <w:r w:rsidR="00CC72B9" w:rsidRPr="00876F3E">
        <w:rPr>
          <w:rFonts w:ascii="仿宋_GB2312" w:eastAsia="仿宋_GB2312" w:hAnsi="华文宋体" w:hint="eastAsia"/>
          <w:sz w:val="32"/>
          <w:szCs w:val="28"/>
        </w:rPr>
        <w:t>13</w:t>
      </w:r>
      <w:r w:rsidRPr="00876F3E">
        <w:rPr>
          <w:rFonts w:ascii="仿宋_GB2312" w:eastAsia="仿宋_GB2312" w:hAnsi="华文宋体" w:hint="eastAsia"/>
          <w:sz w:val="32"/>
          <w:szCs w:val="28"/>
        </w:rPr>
        <w:t>日</w:t>
      </w:r>
      <w:r w:rsidR="00CC72B9" w:rsidRPr="00876F3E">
        <w:rPr>
          <w:rFonts w:ascii="仿宋_GB2312" w:eastAsia="仿宋_GB2312" w:hAnsi="华文宋体" w:hint="eastAsia"/>
          <w:sz w:val="32"/>
          <w:szCs w:val="28"/>
        </w:rPr>
        <w:t>下午</w:t>
      </w:r>
      <w:r w:rsidR="001225EE" w:rsidRPr="00876F3E">
        <w:rPr>
          <w:rFonts w:ascii="仿宋_GB2312" w:eastAsia="仿宋_GB2312" w:hAnsi="华文宋体" w:hint="eastAsia"/>
          <w:sz w:val="32"/>
          <w:szCs w:val="28"/>
        </w:rPr>
        <w:t>(下周一)</w:t>
      </w:r>
      <w:r w:rsidRPr="00876F3E">
        <w:rPr>
          <w:rFonts w:ascii="仿宋_GB2312" w:eastAsia="仿宋_GB2312" w:hAnsi="华文宋体" w:hint="eastAsia"/>
          <w:sz w:val="32"/>
          <w:szCs w:val="28"/>
        </w:rPr>
        <w:t xml:space="preserve">14：30  </w:t>
      </w:r>
    </w:p>
    <w:p w:rsidR="001850A6" w:rsidRPr="00876F3E" w:rsidRDefault="00390CDF" w:rsidP="00876F3E">
      <w:pPr>
        <w:ind w:firstLineChars="200" w:firstLine="640"/>
        <w:rPr>
          <w:rFonts w:ascii="仿宋_GB2312" w:eastAsia="仿宋_GB2312" w:hAnsi="华文宋体" w:hint="eastAsia"/>
          <w:sz w:val="32"/>
          <w:szCs w:val="28"/>
        </w:rPr>
      </w:pPr>
      <w:r w:rsidRPr="00876F3E">
        <w:rPr>
          <w:rFonts w:ascii="仿宋_GB2312" w:eastAsia="仿宋_GB2312" w:hAnsi="华文宋体" w:hint="eastAsia"/>
          <w:sz w:val="32"/>
          <w:szCs w:val="28"/>
        </w:rPr>
        <w:t>地点：</w:t>
      </w:r>
      <w:r w:rsidR="00CC72B9" w:rsidRPr="00876F3E">
        <w:rPr>
          <w:rFonts w:ascii="仿宋_GB2312" w:eastAsia="仿宋_GB2312" w:hAnsi="华文宋体" w:hint="eastAsia"/>
          <w:sz w:val="32"/>
          <w:szCs w:val="28"/>
        </w:rPr>
        <w:t>灌南县特殊教育指导中心（特殊教育学校内）一楼会议室</w:t>
      </w:r>
      <w:bookmarkStart w:id="0" w:name="_GoBack"/>
      <w:bookmarkEnd w:id="0"/>
    </w:p>
    <w:p w:rsidR="0068773C" w:rsidRPr="00876F3E" w:rsidRDefault="0068773C">
      <w:pPr>
        <w:rPr>
          <w:rFonts w:ascii="仿宋_GB2312" w:eastAsia="仿宋_GB2312" w:hAnsi="华文宋体" w:hint="eastAsia"/>
          <w:sz w:val="32"/>
          <w:szCs w:val="28"/>
        </w:rPr>
      </w:pPr>
    </w:p>
    <w:p w:rsidR="001850A6" w:rsidRDefault="00390CDF" w:rsidP="0068773C">
      <w:pPr>
        <w:jc w:val="left"/>
        <w:rPr>
          <w:rFonts w:ascii="华文宋体" w:eastAsia="华文宋体" w:hAnsi="华文宋体"/>
          <w:sz w:val="28"/>
          <w:szCs w:val="28"/>
        </w:rPr>
      </w:pPr>
      <w:r w:rsidRPr="00876F3E">
        <w:rPr>
          <w:rFonts w:ascii="仿宋_GB2312" w:eastAsia="仿宋_GB2312" w:hAnsi="华文宋体" w:hint="eastAsia"/>
          <w:sz w:val="32"/>
          <w:szCs w:val="28"/>
        </w:rPr>
        <w:t>附件：</w:t>
      </w:r>
      <w:r w:rsidRPr="00876F3E">
        <w:rPr>
          <w:rFonts w:ascii="仿宋_GB2312" w:eastAsia="仿宋_GB2312" w:hAnsi="宋体" w:cs="宋体" w:hint="eastAsia"/>
          <w:sz w:val="32"/>
          <w:szCs w:val="28"/>
        </w:rPr>
        <w:t>灌南县融合教育资源</w:t>
      </w:r>
      <w:r w:rsidR="001225EE" w:rsidRPr="00876F3E">
        <w:rPr>
          <w:rFonts w:ascii="仿宋_GB2312" w:eastAsia="仿宋_GB2312" w:hAnsi="宋体" w:cs="宋体" w:hint="eastAsia"/>
          <w:sz w:val="32"/>
          <w:szCs w:val="28"/>
        </w:rPr>
        <w:t>中心</w:t>
      </w:r>
      <w:r w:rsidRPr="00876F3E">
        <w:rPr>
          <w:rFonts w:ascii="仿宋_GB2312" w:eastAsia="仿宋_GB2312" w:hAnsi="宋体" w:cs="宋体" w:hint="eastAsia"/>
          <w:sz w:val="32"/>
          <w:szCs w:val="28"/>
        </w:rPr>
        <w:t xml:space="preserve">设备采购清单    </w:t>
      </w:r>
      <w:r>
        <w:rPr>
          <w:rFonts w:ascii="华文宋体" w:eastAsia="华文宋体" w:hAnsi="华文宋体" w:hint="eastAsia"/>
          <w:sz w:val="28"/>
          <w:szCs w:val="28"/>
        </w:rPr>
        <w:t xml:space="preserve">  </w:t>
      </w:r>
    </w:p>
    <w:p w:rsidR="0068773C" w:rsidRDefault="00390CDF">
      <w:pPr>
        <w:rPr>
          <w:rFonts w:ascii="华文宋体" w:eastAsia="华文宋体" w:hAnsi="华文宋体"/>
          <w:sz w:val="28"/>
          <w:szCs w:val="28"/>
        </w:rPr>
      </w:pPr>
      <w:r>
        <w:rPr>
          <w:rFonts w:ascii="华文宋体" w:eastAsia="华文宋体" w:hAnsi="华文宋体" w:hint="eastAsia"/>
          <w:sz w:val="28"/>
          <w:szCs w:val="28"/>
        </w:rPr>
        <w:t xml:space="preserve"> </w:t>
      </w:r>
    </w:p>
    <w:tbl>
      <w:tblPr>
        <w:tblW w:w="11405" w:type="dxa"/>
        <w:jc w:val="center"/>
        <w:tblInd w:w="3685" w:type="dxa"/>
        <w:tblLook w:val="04A0" w:firstRow="1" w:lastRow="0" w:firstColumn="1" w:lastColumn="0" w:noHBand="0" w:noVBand="1"/>
      </w:tblPr>
      <w:tblGrid>
        <w:gridCol w:w="992"/>
        <w:gridCol w:w="992"/>
        <w:gridCol w:w="4884"/>
        <w:gridCol w:w="716"/>
        <w:gridCol w:w="631"/>
        <w:gridCol w:w="768"/>
        <w:gridCol w:w="746"/>
        <w:gridCol w:w="1676"/>
      </w:tblGrid>
      <w:tr w:rsidR="0068773C" w:rsidTr="00BC1309">
        <w:trPr>
          <w:trHeight w:val="939"/>
          <w:jc w:val="center"/>
        </w:trPr>
        <w:tc>
          <w:tcPr>
            <w:tcW w:w="114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876F3E" w:rsidP="00BC1309">
            <w:pPr>
              <w:widowControl/>
              <w:jc w:val="center"/>
              <w:textAlignment w:val="center"/>
              <w:rPr>
                <w:rFonts w:ascii="宋体" w:hAnsi="宋体" w:cs="宋体"/>
                <w:b/>
                <w:bCs/>
                <w:color w:val="000000"/>
                <w:sz w:val="36"/>
                <w:szCs w:val="36"/>
              </w:rPr>
            </w:pPr>
            <w:r w:rsidRPr="00876F3E">
              <w:rPr>
                <w:rFonts w:ascii="宋体" w:hAnsi="宋体" w:cs="宋体" w:hint="eastAsia"/>
                <w:b/>
                <w:bCs/>
                <w:color w:val="000000"/>
                <w:kern w:val="0"/>
                <w:sz w:val="36"/>
                <w:szCs w:val="36"/>
              </w:rPr>
              <w:t>灌南县融合教育资源中心设备采购清单</w:t>
            </w:r>
          </w:p>
        </w:tc>
      </w:tr>
      <w:tr w:rsidR="0068773C" w:rsidTr="00BC1309">
        <w:trPr>
          <w:trHeight w:val="509"/>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产品</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功能参数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单位</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数量</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单价</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合计</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样图</w:t>
            </w:r>
          </w:p>
        </w:tc>
      </w:tr>
      <w:tr w:rsidR="0068773C" w:rsidTr="00BC1309">
        <w:trPr>
          <w:trHeight w:val="2370"/>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跑台</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规格：150×75×135cm；起跑速度：0.8KM/h</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用途：电动控制下进行步态和步行练习。通过</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调节步行速度。适合于各类患者的耐力训练、</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步态训练、下肢关节活动范围练习。可配合减</w:t>
            </w:r>
          </w:p>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重步态训练器进行练习。</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18"/>
                <w:szCs w:val="18"/>
              </w:rPr>
            </w:pPr>
            <w:r>
              <w:rPr>
                <w:noProof/>
              </w:rPr>
              <w:drawing>
                <wp:inline distT="0" distB="0" distL="114300" distR="114300" wp14:anchorId="55DF2B0A" wp14:editId="6D82FF4A">
                  <wp:extent cx="925195" cy="1036955"/>
                  <wp:effectExtent l="0" t="0" r="1905" b="444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9" cstate="print"/>
                          <a:stretch>
                            <a:fillRect/>
                          </a:stretch>
                        </pic:blipFill>
                        <pic:spPr>
                          <a:xfrm>
                            <a:off x="0" y="0"/>
                            <a:ext cx="925195" cy="1036955"/>
                          </a:xfrm>
                          <a:prstGeom prst="rect">
                            <a:avLst/>
                          </a:prstGeom>
                          <a:noFill/>
                          <a:ln w="9525">
                            <a:noFill/>
                          </a:ln>
                        </pic:spPr>
                      </pic:pic>
                    </a:graphicData>
                  </a:graphic>
                </wp:inline>
              </w:drawing>
            </w:r>
          </w:p>
        </w:tc>
      </w:tr>
      <w:tr w:rsidR="0068773C" w:rsidTr="00BC1309">
        <w:trPr>
          <w:trHeight w:val="1212"/>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趣味插珠游戏 - 15毫米</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卡片尺寸：7×7cm</w:t>
            </w:r>
            <w:r>
              <w:rPr>
                <w:rFonts w:ascii="宋体" w:hAnsi="宋体" w:cs="宋体" w:hint="eastAsia"/>
                <w:color w:val="000000"/>
                <w:kern w:val="0"/>
                <w:sz w:val="20"/>
                <w:szCs w:val="20"/>
              </w:rPr>
              <w:br/>
              <w:t>游戏组件：8张主题卡片；64张小卡片；（8张/主题），小卡片有自检功能；1个木制收纳盒；桦木夹板/PS</w:t>
            </w:r>
            <w:proofErr w:type="gramStart"/>
            <w:r>
              <w:rPr>
                <w:rFonts w:ascii="宋体" w:hAnsi="宋体" w:cs="宋体" w:hint="eastAsia"/>
                <w:color w:val="000000"/>
                <w:kern w:val="0"/>
                <w:sz w:val="20"/>
                <w:szCs w:val="20"/>
              </w:rPr>
              <w:t>板教育</w:t>
            </w:r>
            <w:proofErr w:type="gramEnd"/>
            <w:r>
              <w:rPr>
                <w:rFonts w:ascii="宋体" w:hAnsi="宋体" w:cs="宋体" w:hint="eastAsia"/>
                <w:color w:val="000000"/>
                <w:kern w:val="0"/>
                <w:sz w:val="20"/>
                <w:szCs w:val="20"/>
              </w:rPr>
              <w:t>目标：提升视觉感知能力训练；发展逻辑思维能力；理解和讨论因果关系；锻炼语句表达的连贯能力。游戏板尺寸：28×14cm。木盒尺寸：34×20×6cm</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16"/>
                <w:szCs w:val="16"/>
              </w:rPr>
            </w:pPr>
            <w:r>
              <w:rPr>
                <w:rFonts w:ascii="宋体" w:hAnsi="宋体" w:cs="宋体" w:hint="eastAsia"/>
                <w:noProof/>
                <w:color w:val="000000"/>
                <w:kern w:val="0"/>
                <w:sz w:val="16"/>
                <w:szCs w:val="16"/>
                <w:bdr w:val="single" w:sz="4" w:space="0" w:color="000000"/>
              </w:rPr>
              <w:drawing>
                <wp:anchor distT="0" distB="0" distL="114300" distR="114300" simplePos="0" relativeHeight="251659264" behindDoc="0" locked="0" layoutInCell="1" allowOverlap="1" wp14:anchorId="55889FDC" wp14:editId="75699D00">
                  <wp:simplePos x="0" y="0"/>
                  <wp:positionH relativeFrom="column">
                    <wp:posOffset>108585</wp:posOffset>
                  </wp:positionH>
                  <wp:positionV relativeFrom="paragraph">
                    <wp:posOffset>145415</wp:posOffset>
                  </wp:positionV>
                  <wp:extent cx="614045" cy="477520"/>
                  <wp:effectExtent l="0" t="0" r="8255" b="5080"/>
                  <wp:wrapNone/>
                  <wp:docPr id="26" name="Picture_1025"/>
                  <wp:cNvGraphicFramePr/>
                  <a:graphic xmlns:a="http://schemas.openxmlformats.org/drawingml/2006/main">
                    <a:graphicData uri="http://schemas.openxmlformats.org/drawingml/2006/picture">
                      <pic:pic xmlns:pic="http://schemas.openxmlformats.org/drawingml/2006/picture">
                        <pic:nvPicPr>
                          <pic:cNvPr id="26" name="Picture_1025"/>
                          <pic:cNvPicPr/>
                        </pic:nvPicPr>
                        <pic:blipFill>
                          <a:blip r:embed="rId10" cstate="print"/>
                          <a:stretch>
                            <a:fillRect/>
                          </a:stretch>
                        </pic:blipFill>
                        <pic:spPr>
                          <a:xfrm>
                            <a:off x="0" y="0"/>
                            <a:ext cx="614045" cy="477520"/>
                          </a:xfrm>
                          <a:prstGeom prst="rect">
                            <a:avLst/>
                          </a:prstGeom>
                          <a:noFill/>
                          <a:ln>
                            <a:noFill/>
                          </a:ln>
                        </pic:spPr>
                      </pic:pic>
                    </a:graphicData>
                  </a:graphic>
                </wp:anchor>
              </w:drawing>
            </w:r>
          </w:p>
        </w:tc>
      </w:tr>
      <w:tr w:rsidR="0068773C" w:rsidTr="00BC1309">
        <w:trPr>
          <w:trHeight w:val="3260"/>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肌力训练弹力带</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Style w:val="font01"/>
                <w:rFonts w:hint="default"/>
              </w:rPr>
              <w:t>肌力训练弹力带属于康复训练器械，用于手指肌力训练和手指关节活动度训练，外形尺寸/㎝：174×58×48±2，外形尺寸/cm ：70×11±2，每组肌力训练弹力带由六件组成，</w:t>
            </w:r>
            <w:proofErr w:type="gramStart"/>
            <w:r>
              <w:rPr>
                <w:rStyle w:val="font01"/>
                <w:rFonts w:hint="default"/>
              </w:rPr>
              <w:t>橡</w:t>
            </w:r>
            <w:proofErr w:type="gramEnd"/>
            <w:r>
              <w:rPr>
                <w:rStyle w:val="font01"/>
                <w:rFonts w:hint="default"/>
              </w:rPr>
              <w:t>筋绳用不同颜色区分，</w:t>
            </w:r>
            <w:proofErr w:type="gramStart"/>
            <w:r>
              <w:rPr>
                <w:rStyle w:val="font01"/>
                <w:rFonts w:hint="default"/>
              </w:rPr>
              <w:t>橡</w:t>
            </w:r>
            <w:proofErr w:type="gramEnd"/>
            <w:r>
              <w:rPr>
                <w:rStyle w:val="font01"/>
                <w:rFonts w:hint="default"/>
              </w:rPr>
              <w:t>筋绳的直径及阻力（拉长100%时）：浅绿：直径</w:t>
            </w:r>
            <w:r>
              <w:rPr>
                <w:rStyle w:val="font101"/>
                <w:rFonts w:ascii="宋体" w:hAnsi="宋体" w:cs="宋体" w:hint="eastAsia"/>
              </w:rPr>
              <w:t>φ</w:t>
            </w:r>
            <w:r>
              <w:rPr>
                <w:rStyle w:val="font21"/>
                <w:rFonts w:hint="default"/>
              </w:rPr>
              <w:t>0.6cm，阻力85N，黑：直径</w:t>
            </w:r>
            <w:r>
              <w:rPr>
                <w:rStyle w:val="font101"/>
                <w:rFonts w:ascii="宋体" w:hAnsi="宋体" w:cs="宋体" w:hint="eastAsia"/>
              </w:rPr>
              <w:t>φ</w:t>
            </w:r>
            <w:r>
              <w:rPr>
                <w:rStyle w:val="font21"/>
                <w:rFonts w:hint="default"/>
              </w:rPr>
              <w:t>0.6cm，阻力75N，红：直径</w:t>
            </w:r>
            <w:r>
              <w:rPr>
                <w:rStyle w:val="font101"/>
                <w:rFonts w:ascii="宋体" w:hAnsi="宋体" w:cs="宋体" w:hint="eastAsia"/>
              </w:rPr>
              <w:t>φ</w:t>
            </w:r>
            <w:r>
              <w:rPr>
                <w:rStyle w:val="font21"/>
                <w:rFonts w:hint="default"/>
              </w:rPr>
              <w:t>0.6cm，阻力55N，黄：直径</w:t>
            </w:r>
            <w:r>
              <w:rPr>
                <w:rStyle w:val="font101"/>
                <w:rFonts w:ascii="宋体" w:hAnsi="宋体" w:cs="宋体" w:hint="eastAsia"/>
              </w:rPr>
              <w:t>φ</w:t>
            </w:r>
            <w:r>
              <w:rPr>
                <w:rStyle w:val="font21"/>
                <w:rFonts w:hint="default"/>
              </w:rPr>
              <w:t>0.6cm，阻力45N，深绿：直径</w:t>
            </w:r>
            <w:r>
              <w:rPr>
                <w:rStyle w:val="font101"/>
                <w:rFonts w:ascii="宋体" w:hAnsi="宋体" w:cs="宋体" w:hint="eastAsia"/>
              </w:rPr>
              <w:t>φ</w:t>
            </w:r>
            <w:r>
              <w:rPr>
                <w:rStyle w:val="font21"/>
                <w:rFonts w:hint="default"/>
              </w:rPr>
              <w:t>0.4cm，阻力25N，蓝：直径</w:t>
            </w:r>
            <w:r>
              <w:rPr>
                <w:rStyle w:val="font101"/>
                <w:rFonts w:ascii="宋体" w:hAnsi="宋体" w:cs="宋体" w:hint="eastAsia"/>
              </w:rPr>
              <w:t>φ</w:t>
            </w:r>
            <w:r>
              <w:rPr>
                <w:rStyle w:val="font21"/>
                <w:rFonts w:hint="default"/>
              </w:rPr>
              <w:t>0.4cm，阻力15N。</w:t>
            </w:r>
            <w:r>
              <w:rPr>
                <w:rStyle w:val="font21"/>
                <w:rFonts w:hint="default"/>
              </w:rPr>
              <w:br/>
              <w:t xml:space="preserve">★疲劳强度要求：使用中运动部件，按照《康复训练器械 安全通用要求GB24436-2009》国家标准进行，接近正常训练的频率，循环不少于100000次，不应产生任何裂纹、破损等损坏，并仍满足标准的各项功能，符合相应的国家标准（须提供第三方检测机构依据国家标准疲劳强度检测并合格的检测报告佐证，检测报告中须标注资质认定标志CMA有效，检测报告原件核查有效）。 </w:t>
            </w:r>
            <w:r>
              <w:rPr>
                <w:rStyle w:val="font21"/>
                <w:rFonts w:hint="default"/>
              </w:rPr>
              <w:br/>
              <w:t>★牵索的抗断力要求：将牵索的一端固定，在另一端施加最大额定阻力源的六倍载荷，并保持5分钟，应能牢固连接无任何损坏，符合《康复训练器械 安全通用要求GB24436-2009》国家标准（须提供第三方检测机构依据国家标准检测并合格的检测报告，检测报告中须标注资质认定标志CMA有效，检测报告原件核查）。</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60288" behindDoc="0" locked="0" layoutInCell="1" allowOverlap="1" wp14:anchorId="6FB90049" wp14:editId="274CD0F4">
                  <wp:simplePos x="0" y="0"/>
                  <wp:positionH relativeFrom="column">
                    <wp:posOffset>134620</wp:posOffset>
                  </wp:positionH>
                  <wp:positionV relativeFrom="paragraph">
                    <wp:posOffset>735965</wp:posOffset>
                  </wp:positionV>
                  <wp:extent cx="680085" cy="319405"/>
                  <wp:effectExtent l="0" t="0" r="5715" b="10795"/>
                  <wp:wrapNone/>
                  <wp:docPr id="27" name="图片_7"/>
                  <wp:cNvGraphicFramePr/>
                  <a:graphic xmlns:a="http://schemas.openxmlformats.org/drawingml/2006/main">
                    <a:graphicData uri="http://schemas.openxmlformats.org/drawingml/2006/picture">
                      <pic:pic xmlns:pic="http://schemas.openxmlformats.org/drawingml/2006/picture">
                        <pic:nvPicPr>
                          <pic:cNvPr id="27" name="图片_7"/>
                          <pic:cNvPicPr/>
                        </pic:nvPicPr>
                        <pic:blipFill>
                          <a:blip r:embed="rId11" cstate="print"/>
                          <a:stretch>
                            <a:fillRect/>
                          </a:stretch>
                        </pic:blipFill>
                        <pic:spPr>
                          <a:xfrm>
                            <a:off x="0" y="0"/>
                            <a:ext cx="680085" cy="319405"/>
                          </a:xfrm>
                          <a:prstGeom prst="rect">
                            <a:avLst/>
                          </a:prstGeom>
                          <a:noFill/>
                          <a:ln>
                            <a:noFill/>
                          </a:ln>
                        </pic:spPr>
                      </pic:pic>
                    </a:graphicData>
                  </a:graphic>
                </wp:anchor>
              </w:drawing>
            </w:r>
          </w:p>
        </w:tc>
      </w:tr>
      <w:tr w:rsidR="0068773C" w:rsidTr="00BC1309">
        <w:trPr>
          <w:trHeight w:val="920"/>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小熊排队游戏</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任务卡：280x70x2.5mm4种型号4种颜色的小熊共计64只，任务卡16张。桦木夹板/PS板/塑料教育目标：培养视觉感知能力；提高分类、排序能力；掌握辨别和比较大小的方法。木盒尺寸：336×196×67mm</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61312" behindDoc="0" locked="0" layoutInCell="1" allowOverlap="1" wp14:anchorId="48F8F1CA" wp14:editId="1160A15C">
                  <wp:simplePos x="0" y="0"/>
                  <wp:positionH relativeFrom="column">
                    <wp:posOffset>156845</wp:posOffset>
                  </wp:positionH>
                  <wp:positionV relativeFrom="paragraph">
                    <wp:posOffset>78105</wp:posOffset>
                  </wp:positionV>
                  <wp:extent cx="508635" cy="420370"/>
                  <wp:effectExtent l="0" t="0" r="12065" b="11430"/>
                  <wp:wrapNone/>
                  <wp:docPr id="28" name="Picture_1028"/>
                  <wp:cNvGraphicFramePr/>
                  <a:graphic xmlns:a="http://schemas.openxmlformats.org/drawingml/2006/main">
                    <a:graphicData uri="http://schemas.openxmlformats.org/drawingml/2006/picture">
                      <pic:pic xmlns:pic="http://schemas.openxmlformats.org/drawingml/2006/picture">
                        <pic:nvPicPr>
                          <pic:cNvPr id="28" name="Picture_1028"/>
                          <pic:cNvPicPr/>
                        </pic:nvPicPr>
                        <pic:blipFill>
                          <a:blip r:embed="rId12" cstate="print"/>
                          <a:stretch>
                            <a:fillRect/>
                          </a:stretch>
                        </pic:blipFill>
                        <pic:spPr>
                          <a:xfrm>
                            <a:off x="0" y="0"/>
                            <a:ext cx="508635" cy="420370"/>
                          </a:xfrm>
                          <a:prstGeom prst="rect">
                            <a:avLst/>
                          </a:prstGeom>
                          <a:noFill/>
                          <a:ln>
                            <a:noFill/>
                          </a:ln>
                        </pic:spPr>
                      </pic:pic>
                    </a:graphicData>
                  </a:graphic>
                </wp:anchor>
              </w:drawing>
            </w:r>
          </w:p>
        </w:tc>
      </w:tr>
      <w:tr w:rsidR="0068773C" w:rsidTr="00BC1309">
        <w:trPr>
          <w:trHeight w:val="1224"/>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记忆游戏 - 动物系列</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游戏组件：48张塑料小卡片（刚好24对），1个木制收纳盒中。桦木夹板/PS</w:t>
            </w:r>
            <w:proofErr w:type="gramStart"/>
            <w:r>
              <w:rPr>
                <w:rFonts w:ascii="宋体" w:hAnsi="宋体" w:cs="宋体" w:hint="eastAsia"/>
                <w:color w:val="000000"/>
                <w:kern w:val="0"/>
                <w:sz w:val="20"/>
                <w:szCs w:val="20"/>
              </w:rPr>
              <w:t>板教育</w:t>
            </w:r>
            <w:proofErr w:type="gramEnd"/>
            <w:r>
              <w:rPr>
                <w:rFonts w:ascii="宋体" w:hAnsi="宋体" w:cs="宋体" w:hint="eastAsia"/>
                <w:color w:val="000000"/>
                <w:kern w:val="0"/>
                <w:sz w:val="20"/>
                <w:szCs w:val="20"/>
              </w:rPr>
              <w:t>目标：提高视觉感知能力，锻炼语言表达能力；培养专注力和记忆力。木盒尺寸：</w:t>
            </w:r>
          </w:p>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34×20×6cm</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noProof/>
              </w:rPr>
              <w:drawing>
                <wp:inline distT="0" distB="0" distL="114300" distR="114300" wp14:anchorId="431B0B22" wp14:editId="7F86E07A">
                  <wp:extent cx="556895" cy="457200"/>
                  <wp:effectExtent l="0" t="0" r="1905" b="0"/>
                  <wp:docPr id="24" name="Picture 1030" descr="1501776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30" descr="1501776482(1)"/>
                          <pic:cNvPicPr>
                            <a:picLocks noChangeAspect="1"/>
                          </pic:cNvPicPr>
                        </pic:nvPicPr>
                        <pic:blipFill>
                          <a:blip r:embed="rId13" cstate="print"/>
                          <a:stretch>
                            <a:fillRect/>
                          </a:stretch>
                        </pic:blipFill>
                        <pic:spPr>
                          <a:xfrm>
                            <a:off x="0" y="0"/>
                            <a:ext cx="556895" cy="457200"/>
                          </a:xfrm>
                          <a:prstGeom prst="rect">
                            <a:avLst/>
                          </a:prstGeom>
                          <a:noFill/>
                          <a:ln w="9525">
                            <a:noFill/>
                          </a:ln>
                        </pic:spPr>
                      </pic:pic>
                    </a:graphicData>
                  </a:graphic>
                </wp:inline>
              </w:drawing>
            </w:r>
          </w:p>
        </w:tc>
      </w:tr>
      <w:tr w:rsidR="0068773C" w:rsidTr="00BC1309">
        <w:trPr>
          <w:trHeight w:val="3780"/>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学生认知及语言训练用具</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本训练用具根据学生成长的不同时期以及能力点的需求进行分类设计的，可以进行认知、收纳归为、培养逻辑思维、配对及视知觉教学等活动。</w:t>
            </w:r>
            <w:r>
              <w:rPr>
                <w:rFonts w:ascii="宋体" w:hAnsi="宋体" w:cs="宋体" w:hint="eastAsia"/>
                <w:color w:val="000000"/>
                <w:kern w:val="0"/>
                <w:sz w:val="20"/>
                <w:szCs w:val="20"/>
              </w:rPr>
              <w:br/>
              <w:t>包括学习用具如下：</w:t>
            </w:r>
            <w:r>
              <w:rPr>
                <w:rFonts w:ascii="宋体" w:hAnsi="宋体" w:cs="宋体" w:hint="eastAsia"/>
                <w:color w:val="000000"/>
                <w:kern w:val="0"/>
                <w:sz w:val="20"/>
                <w:szCs w:val="20"/>
              </w:rPr>
              <w:br/>
              <w:t>1、包含不少于870张名词动词图卡，涵盖了学生的日常吃穿住用</w:t>
            </w:r>
            <w:proofErr w:type="gramStart"/>
            <w:r>
              <w:rPr>
                <w:rFonts w:ascii="宋体" w:hAnsi="宋体" w:cs="宋体" w:hint="eastAsia"/>
                <w:color w:val="000000"/>
                <w:kern w:val="0"/>
                <w:sz w:val="20"/>
                <w:szCs w:val="20"/>
              </w:rPr>
              <w:t>医</w:t>
            </w:r>
            <w:proofErr w:type="gramEnd"/>
            <w:r>
              <w:rPr>
                <w:rFonts w:ascii="宋体" w:hAnsi="宋体" w:cs="宋体" w:hint="eastAsia"/>
                <w:color w:val="000000"/>
                <w:kern w:val="0"/>
                <w:sz w:val="20"/>
                <w:szCs w:val="20"/>
              </w:rPr>
              <w:t>教行玩的高频词，图卡尺不小于7x7cm。</w:t>
            </w:r>
            <w:r>
              <w:rPr>
                <w:rFonts w:ascii="宋体" w:hAnsi="宋体" w:cs="宋体" w:hint="eastAsia"/>
                <w:color w:val="000000"/>
                <w:kern w:val="0"/>
                <w:sz w:val="20"/>
                <w:szCs w:val="20"/>
              </w:rPr>
              <w:br/>
              <w:t>2、每张卡片正面为纯图片，卡片分9个类别的不同颜色小盒，卡片背面分9种颜色，背面并标注词汇的名字、级别、词性和种类，便于检索及分类。</w:t>
            </w:r>
            <w:r>
              <w:rPr>
                <w:rFonts w:ascii="宋体" w:hAnsi="宋体" w:cs="宋体" w:hint="eastAsia"/>
                <w:color w:val="000000"/>
                <w:kern w:val="0"/>
                <w:sz w:val="20"/>
                <w:szCs w:val="20"/>
              </w:rPr>
              <w:br/>
              <w:t>3、词汇分类：2级别名词80张，3级别名词185张，4级别名词390张，5级别名称30张，6级别名词56张，3级别动词37张，4级别动词58张，5级别动词</w:t>
            </w:r>
            <w:r>
              <w:rPr>
                <w:rFonts w:ascii="宋体" w:hAnsi="宋体" w:cs="宋体" w:hint="eastAsia"/>
                <w:color w:val="000000"/>
                <w:kern w:val="0"/>
                <w:sz w:val="20"/>
                <w:szCs w:val="20"/>
              </w:rPr>
              <w:lastRenderedPageBreak/>
              <w:t>38张。</w:t>
            </w:r>
            <w:r>
              <w:rPr>
                <w:rFonts w:ascii="宋体" w:hAnsi="宋体" w:cs="宋体" w:hint="eastAsia"/>
                <w:color w:val="000000"/>
                <w:kern w:val="0"/>
                <w:sz w:val="20"/>
                <w:szCs w:val="20"/>
              </w:rPr>
              <w:br/>
              <w:t>★4、一键式扫描视频模式：130张动词卡片，背面带有二维码，手机扫描即可看词汇相关的视频，学生可以更加生动的学习。配置不少于40张动物</w:t>
            </w:r>
            <w:proofErr w:type="gramStart"/>
            <w:r>
              <w:rPr>
                <w:rFonts w:ascii="宋体" w:hAnsi="宋体" w:cs="宋体" w:hint="eastAsia"/>
                <w:color w:val="000000"/>
                <w:kern w:val="0"/>
                <w:sz w:val="20"/>
                <w:szCs w:val="20"/>
              </w:rPr>
              <w:t>类词卡</w:t>
            </w:r>
            <w:proofErr w:type="gramEnd"/>
            <w:r>
              <w:rPr>
                <w:rFonts w:ascii="宋体" w:hAnsi="宋体" w:cs="宋体" w:hint="eastAsia"/>
                <w:color w:val="000000"/>
                <w:kern w:val="0"/>
                <w:sz w:val="20"/>
                <w:szCs w:val="20"/>
              </w:rPr>
              <w:t>，都具有</w:t>
            </w:r>
            <w:proofErr w:type="gramStart"/>
            <w:r>
              <w:rPr>
                <w:rFonts w:ascii="宋体" w:hAnsi="宋体" w:cs="宋体" w:hint="eastAsia"/>
                <w:color w:val="000000"/>
                <w:kern w:val="0"/>
                <w:sz w:val="20"/>
                <w:szCs w:val="20"/>
              </w:rPr>
              <w:t>二维码视频</w:t>
            </w:r>
            <w:proofErr w:type="gramEnd"/>
            <w:r>
              <w:rPr>
                <w:rFonts w:ascii="宋体" w:hAnsi="宋体" w:cs="宋体" w:hint="eastAsia"/>
                <w:color w:val="000000"/>
                <w:kern w:val="0"/>
                <w:sz w:val="20"/>
                <w:szCs w:val="20"/>
              </w:rPr>
              <w:t>模式。</w:t>
            </w:r>
            <w:r>
              <w:rPr>
                <w:rFonts w:ascii="宋体" w:hAnsi="宋体" w:cs="宋体" w:hint="eastAsia"/>
                <w:color w:val="000000"/>
                <w:kern w:val="0"/>
                <w:sz w:val="20"/>
                <w:szCs w:val="20"/>
              </w:rPr>
              <w:br/>
              <w:t>5、配套教学支持视频，包含基本教学方法、生活拓展教学方法和互动教学方案。</w:t>
            </w:r>
            <w:r>
              <w:rPr>
                <w:rFonts w:ascii="宋体" w:hAnsi="宋体" w:cs="宋体" w:hint="eastAsia"/>
                <w:color w:val="000000"/>
                <w:kern w:val="0"/>
                <w:sz w:val="20"/>
                <w:szCs w:val="20"/>
              </w:rPr>
              <w:br/>
              <w:t>6、配套一本指导手册，可以完整的记录学生的康复训练过程。</w:t>
            </w:r>
            <w:r>
              <w:rPr>
                <w:rFonts w:ascii="宋体" w:hAnsi="宋体" w:cs="宋体" w:hint="eastAsia"/>
                <w:color w:val="000000"/>
                <w:kern w:val="0"/>
                <w:sz w:val="20"/>
                <w:szCs w:val="20"/>
              </w:rPr>
              <w:br/>
              <w:t>7、数据库：配套电子化图卡1600张，用户可以根据学生的需求，自主打印制作，满足个性化需求。</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62336" behindDoc="0" locked="0" layoutInCell="1" allowOverlap="1" wp14:anchorId="745EB34F" wp14:editId="7011DBCD">
                  <wp:simplePos x="0" y="0"/>
                  <wp:positionH relativeFrom="column">
                    <wp:posOffset>108585</wp:posOffset>
                  </wp:positionH>
                  <wp:positionV relativeFrom="paragraph">
                    <wp:posOffset>1038860</wp:posOffset>
                  </wp:positionV>
                  <wp:extent cx="720090" cy="411480"/>
                  <wp:effectExtent l="0" t="0" r="3810" b="7620"/>
                  <wp:wrapNone/>
                  <wp:docPr id="35" name="图片_18"/>
                  <wp:cNvGraphicFramePr/>
                  <a:graphic xmlns:a="http://schemas.openxmlformats.org/drawingml/2006/main">
                    <a:graphicData uri="http://schemas.openxmlformats.org/drawingml/2006/picture">
                      <pic:pic xmlns:pic="http://schemas.openxmlformats.org/drawingml/2006/picture">
                        <pic:nvPicPr>
                          <pic:cNvPr id="35" name="图片_18"/>
                          <pic:cNvPicPr/>
                        </pic:nvPicPr>
                        <pic:blipFill>
                          <a:blip r:embed="rId14" cstate="print"/>
                          <a:stretch>
                            <a:fillRect/>
                          </a:stretch>
                        </pic:blipFill>
                        <pic:spPr>
                          <a:xfrm>
                            <a:off x="0" y="0"/>
                            <a:ext cx="720090" cy="411480"/>
                          </a:xfrm>
                          <a:prstGeom prst="rect">
                            <a:avLst/>
                          </a:prstGeom>
                          <a:noFill/>
                          <a:ln>
                            <a:noFill/>
                          </a:ln>
                        </pic:spPr>
                      </pic:pic>
                    </a:graphicData>
                  </a:graphic>
                </wp:anchor>
              </w:drawing>
            </w:r>
          </w:p>
        </w:tc>
      </w:tr>
      <w:tr w:rsidR="0068773C" w:rsidTr="00BC1309">
        <w:trPr>
          <w:trHeight w:val="404"/>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踩踏石</w:t>
            </w:r>
            <w:proofErr w:type="gramEnd"/>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适合于训练小朋友的协调能力和感觉统合能力以及逻辑思维能力，以及培养儿童判断距离的能力。可设计多种情景进行游戏。防滑塑胶设计,确保安全。规格：ø15cm，H7cm  承重100kg，3对/套。</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63360" behindDoc="0" locked="0" layoutInCell="1" allowOverlap="1" wp14:anchorId="782A3C48" wp14:editId="07579D41">
                  <wp:simplePos x="0" y="0"/>
                  <wp:positionH relativeFrom="column">
                    <wp:posOffset>72390</wp:posOffset>
                  </wp:positionH>
                  <wp:positionV relativeFrom="paragraph">
                    <wp:posOffset>3175</wp:posOffset>
                  </wp:positionV>
                  <wp:extent cx="720090" cy="362585"/>
                  <wp:effectExtent l="0" t="0" r="3810" b="5715"/>
                  <wp:wrapNone/>
                  <wp:docPr id="32" name="图片_15"/>
                  <wp:cNvGraphicFramePr/>
                  <a:graphic xmlns:a="http://schemas.openxmlformats.org/drawingml/2006/main">
                    <a:graphicData uri="http://schemas.openxmlformats.org/drawingml/2006/picture">
                      <pic:pic xmlns:pic="http://schemas.openxmlformats.org/drawingml/2006/picture">
                        <pic:nvPicPr>
                          <pic:cNvPr id="32" name="图片_15"/>
                          <pic:cNvPicPr/>
                        </pic:nvPicPr>
                        <pic:blipFill>
                          <a:blip r:embed="rId15" cstate="print"/>
                          <a:stretch>
                            <a:fillRect/>
                          </a:stretch>
                        </pic:blipFill>
                        <pic:spPr>
                          <a:xfrm>
                            <a:off x="0" y="0"/>
                            <a:ext cx="720090" cy="362585"/>
                          </a:xfrm>
                          <a:prstGeom prst="rect">
                            <a:avLst/>
                          </a:prstGeom>
                          <a:noFill/>
                          <a:ln>
                            <a:noFill/>
                          </a:ln>
                        </pic:spPr>
                      </pic:pic>
                    </a:graphicData>
                  </a:graphic>
                </wp:anchor>
              </w:drawing>
            </w:r>
          </w:p>
        </w:tc>
      </w:tr>
      <w:tr w:rsidR="0068773C" w:rsidTr="00BC1309">
        <w:trPr>
          <w:trHeight w:val="599"/>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棋子</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围棋小号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64384" behindDoc="0" locked="0" layoutInCell="1" allowOverlap="1" wp14:anchorId="47388D45" wp14:editId="5F9074EB">
                  <wp:simplePos x="0" y="0"/>
                  <wp:positionH relativeFrom="column">
                    <wp:posOffset>285115</wp:posOffset>
                  </wp:positionH>
                  <wp:positionV relativeFrom="paragraph">
                    <wp:posOffset>32385</wp:posOffset>
                  </wp:positionV>
                  <wp:extent cx="448945" cy="325755"/>
                  <wp:effectExtent l="0" t="0" r="8255" b="4445"/>
                  <wp:wrapNone/>
                  <wp:docPr id="29" name="图片_22"/>
                  <wp:cNvGraphicFramePr/>
                  <a:graphic xmlns:a="http://schemas.openxmlformats.org/drawingml/2006/main">
                    <a:graphicData uri="http://schemas.openxmlformats.org/drawingml/2006/picture">
                      <pic:pic xmlns:pic="http://schemas.openxmlformats.org/drawingml/2006/picture">
                        <pic:nvPicPr>
                          <pic:cNvPr id="29" name="图片_22"/>
                          <pic:cNvPicPr/>
                        </pic:nvPicPr>
                        <pic:blipFill>
                          <a:blip r:embed="rId16" cstate="print"/>
                          <a:stretch>
                            <a:fillRect/>
                          </a:stretch>
                        </pic:blipFill>
                        <pic:spPr>
                          <a:xfrm>
                            <a:off x="0" y="0"/>
                            <a:ext cx="448945" cy="325755"/>
                          </a:xfrm>
                          <a:prstGeom prst="rect">
                            <a:avLst/>
                          </a:prstGeom>
                          <a:noFill/>
                          <a:ln>
                            <a:noFill/>
                          </a:ln>
                        </pic:spPr>
                      </pic:pic>
                    </a:graphicData>
                  </a:graphic>
                </wp:anchor>
              </w:drawing>
            </w:r>
          </w:p>
        </w:tc>
      </w:tr>
      <w:tr w:rsidR="0068773C" w:rsidTr="00BC1309">
        <w:trPr>
          <w:trHeight w:val="599"/>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动物组合游戏-有身无头</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游戏组件：</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-6 </w:t>
            </w:r>
            <w:proofErr w:type="gramStart"/>
            <w:r>
              <w:rPr>
                <w:rFonts w:ascii="宋体" w:hAnsi="宋体" w:cs="宋体" w:hint="eastAsia"/>
                <w:color w:val="000000"/>
                <w:kern w:val="0"/>
                <w:sz w:val="20"/>
                <w:szCs w:val="20"/>
              </w:rPr>
              <w:t>张题板</w:t>
            </w:r>
            <w:proofErr w:type="gramEnd"/>
            <w:r>
              <w:rPr>
                <w:rFonts w:ascii="宋体" w:hAnsi="宋体" w:cs="宋体" w:hint="eastAsia"/>
                <w:color w:val="000000"/>
                <w:kern w:val="0"/>
                <w:sz w:val="20"/>
                <w:szCs w:val="20"/>
              </w:rPr>
              <w:t>;-48张透明卡片</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 </w:t>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木制收纳盒桦木夹板/PS</w:t>
            </w:r>
            <w:proofErr w:type="gramStart"/>
            <w:r>
              <w:rPr>
                <w:rFonts w:ascii="宋体" w:hAnsi="宋体" w:cs="宋体" w:hint="eastAsia"/>
                <w:color w:val="000000"/>
                <w:kern w:val="0"/>
                <w:sz w:val="20"/>
                <w:szCs w:val="20"/>
              </w:rPr>
              <w:t>板教育</w:t>
            </w:r>
            <w:proofErr w:type="gramEnd"/>
            <w:r>
              <w:rPr>
                <w:rFonts w:ascii="宋体" w:hAnsi="宋体" w:cs="宋体" w:hint="eastAsia"/>
                <w:color w:val="000000"/>
                <w:kern w:val="0"/>
                <w:sz w:val="20"/>
                <w:szCs w:val="20"/>
              </w:rPr>
              <w:t>目标：</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-训练视觉感知能力;-提高图像合成能力</w:t>
            </w:r>
          </w:p>
          <w:p w:rsidR="0068773C" w:rsidRDefault="0068773C" w:rsidP="00BC130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-发展语言表达能力;木盒尺寸：30 x 20 x 6cm</w:t>
            </w:r>
          </w:p>
          <w:p w:rsidR="0068773C" w:rsidRDefault="0068773C" w:rsidP="00BC1309">
            <w:pPr>
              <w:widowControl/>
              <w:jc w:val="left"/>
              <w:textAlignment w:val="center"/>
              <w:rPr>
                <w:rFonts w:ascii="宋体" w:hAnsi="宋体" w:cs="宋体"/>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kern w:val="0"/>
                <w:sz w:val="20"/>
                <w:szCs w:val="20"/>
                <w:bdr w:val="single" w:sz="4" w:space="0" w:color="000000"/>
              </w:rPr>
            </w:pPr>
            <w:r>
              <w:rPr>
                <w:noProof/>
              </w:rPr>
              <w:drawing>
                <wp:inline distT="0" distB="0" distL="114300" distR="114300" wp14:anchorId="43E247F1" wp14:editId="5AEEC9F5">
                  <wp:extent cx="580390" cy="464185"/>
                  <wp:effectExtent l="0" t="0" r="3810" b="5715"/>
                  <wp:docPr id="23" name="Picture 1027" descr="1501775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027" descr="1501775518(1)"/>
                          <pic:cNvPicPr>
                            <a:picLocks noChangeAspect="1"/>
                          </pic:cNvPicPr>
                        </pic:nvPicPr>
                        <pic:blipFill>
                          <a:blip r:embed="rId17" cstate="print"/>
                          <a:stretch>
                            <a:fillRect/>
                          </a:stretch>
                        </pic:blipFill>
                        <pic:spPr>
                          <a:xfrm>
                            <a:off x="0" y="0"/>
                            <a:ext cx="580390" cy="464185"/>
                          </a:xfrm>
                          <a:prstGeom prst="rect">
                            <a:avLst/>
                          </a:prstGeom>
                          <a:noFill/>
                          <a:ln w="9525">
                            <a:noFill/>
                          </a:ln>
                        </pic:spPr>
                      </pic:pic>
                    </a:graphicData>
                  </a:graphic>
                </wp:inline>
              </w:drawing>
            </w:r>
          </w:p>
        </w:tc>
      </w:tr>
      <w:tr w:rsidR="0068773C" w:rsidTr="00BC1309">
        <w:trPr>
          <w:trHeight w:val="939"/>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团队协力板/4人</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用于学生下肢平衡以及身体协调能力训练，同时可进行团队训练，锻炼团体的凝聚力等；环保塑料：39.5x12.5x2.5cm</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widowControl/>
              <w:jc w:val="center"/>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65408" behindDoc="0" locked="0" layoutInCell="1" allowOverlap="1" wp14:anchorId="15C69AF1" wp14:editId="7F32C858">
                  <wp:simplePos x="0" y="0"/>
                  <wp:positionH relativeFrom="column">
                    <wp:posOffset>123190</wp:posOffset>
                  </wp:positionH>
                  <wp:positionV relativeFrom="paragraph">
                    <wp:posOffset>58420</wp:posOffset>
                  </wp:positionV>
                  <wp:extent cx="720090" cy="513715"/>
                  <wp:effectExtent l="0" t="0" r="3810" b="6985"/>
                  <wp:wrapNone/>
                  <wp:docPr id="31" name="图片_16"/>
                  <wp:cNvGraphicFramePr/>
                  <a:graphic xmlns:a="http://schemas.openxmlformats.org/drawingml/2006/main">
                    <a:graphicData uri="http://schemas.openxmlformats.org/drawingml/2006/picture">
                      <pic:pic xmlns:pic="http://schemas.openxmlformats.org/drawingml/2006/picture">
                        <pic:nvPicPr>
                          <pic:cNvPr id="31" name="图片_16"/>
                          <pic:cNvPicPr/>
                        </pic:nvPicPr>
                        <pic:blipFill>
                          <a:blip r:embed="rId18" cstate="print"/>
                          <a:stretch>
                            <a:fillRect/>
                          </a:stretch>
                        </pic:blipFill>
                        <pic:spPr>
                          <a:xfrm>
                            <a:off x="0" y="0"/>
                            <a:ext cx="720090" cy="513715"/>
                          </a:xfrm>
                          <a:prstGeom prst="rect">
                            <a:avLst/>
                          </a:prstGeom>
                          <a:noFill/>
                          <a:ln>
                            <a:noFill/>
                          </a:ln>
                        </pic:spPr>
                      </pic:pic>
                    </a:graphicData>
                  </a:graphic>
                </wp:anchor>
              </w:drawing>
            </w:r>
          </w:p>
        </w:tc>
      </w:tr>
      <w:tr w:rsidR="0068773C" w:rsidTr="00BC1309">
        <w:trPr>
          <w:trHeight w:val="939"/>
          <w:jc w:val="center"/>
        </w:trPr>
        <w:tc>
          <w:tcPr>
            <w:tcW w:w="898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jc w:val="center"/>
              <w:rPr>
                <w:rFonts w:ascii="宋体" w:hAnsi="宋体" w:cs="宋体"/>
                <w:color w:val="000000"/>
                <w:sz w:val="20"/>
                <w:szCs w:val="20"/>
              </w:rPr>
            </w:pPr>
            <w:r>
              <w:rPr>
                <w:rFonts w:ascii="宋体" w:hAnsi="宋体" w:cs="宋体" w:hint="eastAsia"/>
                <w:color w:val="000000"/>
                <w:kern w:val="0"/>
                <w:sz w:val="20"/>
                <w:szCs w:val="20"/>
              </w:rPr>
              <w:t>合计</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773C" w:rsidRDefault="0068773C" w:rsidP="00BC1309">
            <w:pPr>
              <w:jc w:val="center"/>
              <w:rPr>
                <w:rFonts w:ascii="宋体" w:hAnsi="宋体" w:cs="宋体"/>
                <w:color w:val="000000"/>
                <w:sz w:val="20"/>
                <w:szCs w:val="20"/>
              </w:rPr>
            </w:pPr>
          </w:p>
        </w:tc>
      </w:tr>
    </w:tbl>
    <w:p w:rsidR="001850A6" w:rsidRDefault="001850A6">
      <w:pPr>
        <w:rPr>
          <w:rFonts w:ascii="华文宋体" w:eastAsia="华文宋体" w:hAnsi="华文宋体"/>
          <w:sz w:val="28"/>
          <w:szCs w:val="28"/>
        </w:rPr>
      </w:pPr>
    </w:p>
    <w:p w:rsidR="001850A6" w:rsidRDefault="00390CDF">
      <w:pPr>
        <w:rPr>
          <w:rFonts w:ascii="华文宋体" w:eastAsia="华文宋体" w:hAnsi="华文宋体"/>
          <w:sz w:val="28"/>
          <w:szCs w:val="28"/>
        </w:rPr>
      </w:pPr>
      <w:r>
        <w:rPr>
          <w:rFonts w:ascii="华文宋体" w:eastAsia="华文宋体" w:hAnsi="华文宋体" w:hint="eastAsia"/>
          <w:sz w:val="28"/>
          <w:szCs w:val="28"/>
        </w:rPr>
        <w:t xml:space="preserve"> </w:t>
      </w:r>
    </w:p>
    <w:p w:rsidR="0068773C" w:rsidRDefault="0068773C"/>
    <w:sectPr w:rsidR="0068773C" w:rsidSect="00876F3E">
      <w:pgSz w:w="11906" w:h="16838"/>
      <w:pgMar w:top="2098" w:right="1474" w:bottom="85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3FD" w:rsidRDefault="007F53FD" w:rsidP="0068773C">
      <w:r>
        <w:separator/>
      </w:r>
    </w:p>
  </w:endnote>
  <w:endnote w:type="continuationSeparator" w:id="0">
    <w:p w:rsidR="007F53FD" w:rsidRDefault="007F53FD" w:rsidP="0068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3FD" w:rsidRDefault="007F53FD" w:rsidP="0068773C">
      <w:r>
        <w:separator/>
      </w:r>
    </w:p>
  </w:footnote>
  <w:footnote w:type="continuationSeparator" w:id="0">
    <w:p w:rsidR="007F53FD" w:rsidRDefault="007F53FD" w:rsidP="0068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A0AB"/>
    <w:multiLevelType w:val="singleLevel"/>
    <w:tmpl w:val="175FA0AB"/>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50CF2"/>
    <w:rsid w:val="000124F5"/>
    <w:rsid w:val="000A3629"/>
    <w:rsid w:val="000C7BB1"/>
    <w:rsid w:val="001225EE"/>
    <w:rsid w:val="001850A6"/>
    <w:rsid w:val="00226078"/>
    <w:rsid w:val="002C0DB2"/>
    <w:rsid w:val="00390CDF"/>
    <w:rsid w:val="004A5FF1"/>
    <w:rsid w:val="00550CF2"/>
    <w:rsid w:val="0068773C"/>
    <w:rsid w:val="00781B96"/>
    <w:rsid w:val="007F53FD"/>
    <w:rsid w:val="00823571"/>
    <w:rsid w:val="00846842"/>
    <w:rsid w:val="00876F3E"/>
    <w:rsid w:val="009A5A24"/>
    <w:rsid w:val="00C61BDF"/>
    <w:rsid w:val="00CC72B9"/>
    <w:rsid w:val="00CD558C"/>
    <w:rsid w:val="00D85CE1"/>
    <w:rsid w:val="00DF4E21"/>
    <w:rsid w:val="00E35EA9"/>
    <w:rsid w:val="00E6200F"/>
    <w:rsid w:val="00EF6537"/>
    <w:rsid w:val="00F34B48"/>
    <w:rsid w:val="023702BC"/>
    <w:rsid w:val="07620147"/>
    <w:rsid w:val="0C093B66"/>
    <w:rsid w:val="1E6332AA"/>
    <w:rsid w:val="21AC79B8"/>
    <w:rsid w:val="2237219C"/>
    <w:rsid w:val="29B92170"/>
    <w:rsid w:val="34A65C7B"/>
    <w:rsid w:val="36124546"/>
    <w:rsid w:val="3ACC131F"/>
    <w:rsid w:val="44315B8A"/>
    <w:rsid w:val="4854216B"/>
    <w:rsid w:val="56181669"/>
    <w:rsid w:val="5EFF5A92"/>
    <w:rsid w:val="60AF5B45"/>
    <w:rsid w:val="63AE26CD"/>
    <w:rsid w:val="642C4D55"/>
    <w:rsid w:val="69B3336E"/>
    <w:rsid w:val="76626A33"/>
    <w:rsid w:val="7C112B08"/>
    <w:rsid w:val="7FA2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D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7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773C"/>
    <w:rPr>
      <w:rFonts w:ascii="Calibri" w:hAnsi="Calibri"/>
      <w:kern w:val="2"/>
      <w:sz w:val="18"/>
      <w:szCs w:val="18"/>
    </w:rPr>
  </w:style>
  <w:style w:type="paragraph" w:styleId="a4">
    <w:name w:val="footer"/>
    <w:basedOn w:val="a"/>
    <w:link w:val="Char0"/>
    <w:uiPriority w:val="99"/>
    <w:unhideWhenUsed/>
    <w:rsid w:val="0068773C"/>
    <w:pPr>
      <w:tabs>
        <w:tab w:val="center" w:pos="4153"/>
        <w:tab w:val="right" w:pos="8306"/>
      </w:tabs>
      <w:snapToGrid w:val="0"/>
      <w:jc w:val="left"/>
    </w:pPr>
    <w:rPr>
      <w:sz w:val="18"/>
      <w:szCs w:val="18"/>
    </w:rPr>
  </w:style>
  <w:style w:type="character" w:customStyle="1" w:styleId="Char0">
    <w:name w:val="页脚 Char"/>
    <w:basedOn w:val="a0"/>
    <w:link w:val="a4"/>
    <w:uiPriority w:val="99"/>
    <w:rsid w:val="0068773C"/>
    <w:rPr>
      <w:rFonts w:ascii="Calibri" w:hAnsi="Calibri"/>
      <w:kern w:val="2"/>
      <w:sz w:val="18"/>
      <w:szCs w:val="18"/>
    </w:rPr>
  </w:style>
  <w:style w:type="character" w:customStyle="1" w:styleId="font01">
    <w:name w:val="font01"/>
    <w:basedOn w:val="a0"/>
    <w:rsid w:val="0068773C"/>
    <w:rPr>
      <w:rFonts w:ascii="宋体" w:eastAsia="宋体" w:hAnsi="宋体" w:cs="宋体" w:hint="eastAsia"/>
      <w:color w:val="000000"/>
      <w:sz w:val="20"/>
      <w:szCs w:val="20"/>
      <w:u w:val="none"/>
    </w:rPr>
  </w:style>
  <w:style w:type="character" w:customStyle="1" w:styleId="font101">
    <w:name w:val="font101"/>
    <w:basedOn w:val="a0"/>
    <w:rsid w:val="0068773C"/>
    <w:rPr>
      <w:rFonts w:ascii="Calibri" w:hAnsi="Calibri" w:cs="Calibri"/>
      <w:color w:val="000000"/>
      <w:sz w:val="20"/>
      <w:szCs w:val="20"/>
      <w:u w:val="none"/>
    </w:rPr>
  </w:style>
  <w:style w:type="character" w:customStyle="1" w:styleId="font21">
    <w:name w:val="font21"/>
    <w:basedOn w:val="a0"/>
    <w:qFormat/>
    <w:rsid w:val="0068773C"/>
    <w:rPr>
      <w:rFonts w:ascii="宋体" w:eastAsia="宋体" w:hAnsi="宋体" w:cs="宋体" w:hint="eastAsia"/>
      <w:color w:val="000000"/>
      <w:sz w:val="20"/>
      <w:szCs w:val="20"/>
      <w:u w:val="none"/>
    </w:rPr>
  </w:style>
  <w:style w:type="paragraph" w:styleId="a5">
    <w:name w:val="Balloon Text"/>
    <w:basedOn w:val="a"/>
    <w:link w:val="Char1"/>
    <w:uiPriority w:val="99"/>
    <w:semiHidden/>
    <w:unhideWhenUsed/>
    <w:rsid w:val="0068773C"/>
    <w:rPr>
      <w:sz w:val="18"/>
      <w:szCs w:val="18"/>
    </w:rPr>
  </w:style>
  <w:style w:type="character" w:customStyle="1" w:styleId="Char1">
    <w:name w:val="批注框文本 Char"/>
    <w:basedOn w:val="a0"/>
    <w:link w:val="a5"/>
    <w:uiPriority w:val="99"/>
    <w:semiHidden/>
    <w:rsid w:val="0068773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7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773C"/>
    <w:rPr>
      <w:rFonts w:ascii="Calibri" w:hAnsi="Calibri"/>
      <w:kern w:val="2"/>
      <w:sz w:val="18"/>
      <w:szCs w:val="18"/>
    </w:rPr>
  </w:style>
  <w:style w:type="paragraph" w:styleId="a4">
    <w:name w:val="footer"/>
    <w:basedOn w:val="a"/>
    <w:link w:val="Char0"/>
    <w:uiPriority w:val="99"/>
    <w:unhideWhenUsed/>
    <w:rsid w:val="0068773C"/>
    <w:pPr>
      <w:tabs>
        <w:tab w:val="center" w:pos="4153"/>
        <w:tab w:val="right" w:pos="8306"/>
      </w:tabs>
      <w:snapToGrid w:val="0"/>
      <w:jc w:val="left"/>
    </w:pPr>
    <w:rPr>
      <w:sz w:val="18"/>
      <w:szCs w:val="18"/>
    </w:rPr>
  </w:style>
  <w:style w:type="character" w:customStyle="1" w:styleId="Char0">
    <w:name w:val="页脚 Char"/>
    <w:basedOn w:val="a0"/>
    <w:link w:val="a4"/>
    <w:uiPriority w:val="99"/>
    <w:rsid w:val="0068773C"/>
    <w:rPr>
      <w:rFonts w:ascii="Calibri" w:hAnsi="Calibri"/>
      <w:kern w:val="2"/>
      <w:sz w:val="18"/>
      <w:szCs w:val="18"/>
    </w:rPr>
  </w:style>
  <w:style w:type="character" w:customStyle="1" w:styleId="font01">
    <w:name w:val="font01"/>
    <w:basedOn w:val="a0"/>
    <w:rsid w:val="0068773C"/>
    <w:rPr>
      <w:rFonts w:ascii="宋体" w:eastAsia="宋体" w:hAnsi="宋体" w:cs="宋体" w:hint="eastAsia"/>
      <w:color w:val="000000"/>
      <w:sz w:val="20"/>
      <w:szCs w:val="20"/>
      <w:u w:val="none"/>
    </w:rPr>
  </w:style>
  <w:style w:type="character" w:customStyle="1" w:styleId="font101">
    <w:name w:val="font101"/>
    <w:basedOn w:val="a0"/>
    <w:rsid w:val="0068773C"/>
    <w:rPr>
      <w:rFonts w:ascii="Calibri" w:hAnsi="Calibri" w:cs="Calibri"/>
      <w:color w:val="000000"/>
      <w:sz w:val="20"/>
      <w:szCs w:val="20"/>
      <w:u w:val="none"/>
    </w:rPr>
  </w:style>
  <w:style w:type="character" w:customStyle="1" w:styleId="font21">
    <w:name w:val="font21"/>
    <w:basedOn w:val="a0"/>
    <w:qFormat/>
    <w:rsid w:val="0068773C"/>
    <w:rPr>
      <w:rFonts w:ascii="宋体" w:eastAsia="宋体" w:hAnsi="宋体" w:cs="宋体" w:hint="eastAsia"/>
      <w:color w:val="000000"/>
      <w:sz w:val="20"/>
      <w:szCs w:val="20"/>
      <w:u w:val="none"/>
    </w:rPr>
  </w:style>
  <w:style w:type="paragraph" w:styleId="a5">
    <w:name w:val="Balloon Text"/>
    <w:basedOn w:val="a"/>
    <w:link w:val="Char1"/>
    <w:uiPriority w:val="99"/>
    <w:semiHidden/>
    <w:unhideWhenUsed/>
    <w:rsid w:val="0068773C"/>
    <w:rPr>
      <w:sz w:val="18"/>
      <w:szCs w:val="18"/>
    </w:rPr>
  </w:style>
  <w:style w:type="character" w:customStyle="1" w:styleId="Char1">
    <w:name w:val="批注框文本 Char"/>
    <w:basedOn w:val="a0"/>
    <w:link w:val="a5"/>
    <w:uiPriority w:val="99"/>
    <w:semiHidden/>
    <w:rsid w:val="0068773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12</cp:revision>
  <cp:lastPrinted>2021-10-15T00:28:00Z</cp:lastPrinted>
  <dcterms:created xsi:type="dcterms:W3CDTF">2021-12-07T01:26:00Z</dcterms:created>
  <dcterms:modified xsi:type="dcterms:W3CDTF">2021-12-07T08:56:00Z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AFD4EA1EC5C0414BAA6E80EAFF3F557B</vt:lpwstr>
  </property>
</Properties>
</file>