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8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《灌南县县级临时机构财务管理暂行办法》制定说明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一、出台背景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我县临时机构财务管理标准不统一，为规范县级临时机构财务收支行为，严格财务监督和财经纪律，确保国有资产和财政资金使用安全高效，根据县政府主要领导要求，根据《中华人民共和国会计法》等有关法律法规，结合我县实际，出台这一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二、适用范围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本办法适用于经县委县政府批准组建，由县财政拨付专项经费的非常设工作机构，具体包括各类领导小组、办公室、指挥部等，办法共17条，涵盖预算管理、收支管理、资产管理、财务监督等主要内容。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32"/>
          <w:sz w:val="32"/>
          <w:szCs w:val="32"/>
          <w:lang w:val="en-US" w:eastAsia="zh-CN"/>
        </w:rPr>
        <w:t>三、主要内容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  <w:lang w:val="en-US" w:eastAsia="zh-CN"/>
        </w:rPr>
        <w:t>办法主要对临时机构的财务管理进行规范，从临时机构的人员经费和项目经费的使用、财务活动审批权限、会计核算、资金收支、财务报告、资产购置及管理、机构划转撤并、监督检查等方面进行细化说明，有效规范临时机构财务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C7B8EAC-14ED-4A17-8993-6813799DD23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7C8994E-AE35-4500-BB66-56BB7E46ED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ACC0281-10D5-45B3-A06C-A20B09C390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3CC3F7B-1420-4BBD-B0BD-BAE5E9B0C2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JkZDA0MTdiMTZiNzFjYjg1Nzg1MzAwNzlmNjcifQ=="/>
  </w:docVars>
  <w:rsids>
    <w:rsidRoot w:val="00000000"/>
    <w:rsid w:val="159847C3"/>
    <w:rsid w:val="21990BCC"/>
    <w:rsid w:val="7FB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344</Characters>
  <Lines>0</Lines>
  <Paragraphs>0</Paragraphs>
  <TotalTime>1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2022-06-25T06:52:00Z</dcterms:created>
  <dc:creator>Administrator.Pc-201906061535</dc:creator>
  <cp:lastModifiedBy>淡淡指间缘</cp:lastModifiedBy>
  <dcterms:modified xsi:type="dcterms:W3CDTF">2022-06-26T03:06:43Z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20A3BD36C9A84F1A87F6D6DDBF793980</vt:lpwstr>
  </property>
</Properties>
</file>