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t>12345在线服务平台管理办法制定说明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en-US" w:eastAsia="zh-CN"/>
        </w:rPr>
        <w:t>一、出台背景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县12345是县委、县政府设立的非紧急类公共服务平台，定位“感知群众冷暖、回应社会关切”，24小时提供人工在线服务，旨在帮助群众和企业办好诉求、协助部门和地区优化服务、辅助党委和政府快速决策。县12345通过热线电话、网站、微信、移动客户端等多媒体渠道，为公众提供咨询、投诉、求助、建议、举报和表扬等公共服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en-US" w:eastAsia="zh-CN"/>
        </w:rPr>
        <w:t>二、主要目标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为规范灌南县12345在线服务平台（以下简称县12345）管理工作，进一步优化营商环境、转变政府职能、提升政府服务水平和满意度。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  <w:t>（一）机构职责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县12345负责对诉求办理的综合协调和绩效评估；负责对热线诉求及办理效能进行分析研判；负责对现有各类政务服务热线的整合和监管。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县12345负责诉求的接听、登记、解答、转派回访等日常管理、运行和保障工作。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成员单位负责办理县12345交办的诉求；负责建立健全诉求办理的流程机制，配备工作团队；负责热线服务知识库信息数据的更新和维护，提高在线解答能力；负责分析研判诉求，提高办理效能。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  <w:t>（二）受理范围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按照“属地管理、统一受理、归口办理、限时办结”的原则，县12345受理以下诉求事项: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（1）政务服务的事项咨询、协同办理和效能投诉；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（2）受理跨县域转办诉求；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（3）国务院“互联网+督查”、国家政务服务平台、“互联网+监管”等国家平台诉求；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（4）全县政风热线、政务服务“好差评”等共建平台诉求；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（5）县委、县政府交办的其他任务。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县12345对下列事项不予受理: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（1）不属于我县行政管辖范围的；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（2）已进入信访、仲裁、行政复议、诉讼程序或须通过仲裁、行政复议、诉讼程序的事项；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（3）涉及国家秘密、商业秘密、个人隐私的事项；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（4）涉及恶意侮辱、诽谤他人等扰乱社会秩序，或反映内容不具体、缺乏政策法规依据无法办理的事项；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（5）涉及110、119、120、122等紧急救助事项；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（6）其他不予受理事项。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  <w:t>（三）运行流程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县12345运行流程分为统一受理、分类处置、限时办理、答复审核、反馈回访、办结归档、数据分析等主要环节。实行7×24小时工作制（含节假日）。对受理的事项，进行分类处置，按“谁主管谁负责”和“谁监管谁负责”的原则主办转办。涉及各镇范围的事项，按照“属地管理优先”、涉及县城区内范围的事项，按照“主管部门优先”的原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  <w:t>（四）服务整合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非紧急类政务服务热线整合到县12345，发挥12345号码优势和24小时服务能力，开展座席统一服务或专席共建服务，按需取消相关号码，实现“一号对外”。对专业性强、服务量大的，通过座席集中、统一监管等方式，实现标准化服务和24小时服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  <w:t>（五）服务整合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县12345开展群众诉求大数据分析、建立群众诉求大数据分析系统及诉求分析联动报告机制</w:t>
      </w:r>
      <w:r>
        <w:rPr>
          <w:rFonts w:hint="eastAsia" w:ascii="Times New Roman" w:hAnsi="Times New Roman" w:eastAsia="仿宋_GB2312" w:cs="Times New Roman"/>
          <w:snapToGrid w:val="0"/>
          <w:kern w:val="32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1AF54B-D203-4BB5-9B3E-AF96E061449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FAF0213-2712-46AA-9096-CBCE621100E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8087744-DF63-4E95-88AB-6764EA46876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D2EF391-ABAF-4CAF-B5B1-A6B88E76918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CA6AE4F-CD6A-4E08-816C-4E5B6B8AD1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ZmJkZDA0MTdiMTZiNzFjYjg1Nzg1MzAwNzlmNjcifQ=="/>
  </w:docVars>
  <w:rsids>
    <w:rsidRoot w:val="00000000"/>
    <w:rsid w:val="1A9A2B6F"/>
    <w:rsid w:val="28A42517"/>
    <w:rsid w:val="3D4A4AC2"/>
    <w:rsid w:val="6FE07A07"/>
    <w:rsid w:val="757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1075</Words>
  <Characters>1143</Characters>
  <Lines>0</Lines>
  <Paragraphs>0</Paragraphs>
  <TotalTime>8</TotalTime>
  <ScaleCrop>false</ScaleCrop>
  <LinksUpToDate>false</LinksUpToDate>
  <CharactersWithSpaces>1145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2022-06-25T06:49:00Z</dcterms:created>
  <dc:creator>Administrator.Pc-201906061535</dc:creator>
  <cp:lastModifiedBy>淡淡指间缘</cp:lastModifiedBy>
  <dcterms:modified xsi:type="dcterms:W3CDTF">2022-06-26T01:43:46Z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5413B635E2FB47EBBA53BED9A6FDA539</vt:lpwstr>
  </property>
</Properties>
</file>