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6A" w:rsidRDefault="00187B6A" w:rsidP="00187B6A">
      <w:pPr>
        <w:jc w:val="center"/>
        <w:rPr>
          <w:rFonts w:asciiTheme="minorEastAsia" w:hAnsiTheme="minorEastAsia"/>
          <w:b/>
          <w:color w:val="FF0000"/>
          <w:w w:val="60"/>
          <w:sz w:val="144"/>
          <w:szCs w:val="144"/>
        </w:rPr>
      </w:pPr>
      <w:r>
        <w:rPr>
          <w:rFonts w:asciiTheme="minorEastAsia" w:hAnsiTheme="minorEastAsia" w:hint="eastAsia"/>
          <w:b/>
          <w:color w:val="FF0000"/>
          <w:w w:val="60"/>
          <w:sz w:val="144"/>
          <w:szCs w:val="144"/>
        </w:rPr>
        <w:t>灌南县公平竞争审查</w:t>
      </w:r>
    </w:p>
    <w:p w:rsidR="00187B6A" w:rsidRDefault="00187B6A" w:rsidP="00187B6A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187B6A" w:rsidRDefault="00187B6A" w:rsidP="00187B6A">
      <w:pPr>
        <w:jc w:val="center"/>
        <w:rPr>
          <w:rFonts w:ascii="方正小标宋简体" w:eastAsia="方正小标宋简体" w:hAnsi="仿宋"/>
          <w:color w:val="FF0000"/>
          <w:sz w:val="110"/>
          <w:szCs w:val="110"/>
        </w:rPr>
      </w:pPr>
      <w:r>
        <w:rPr>
          <w:rFonts w:ascii="方正小标宋简体" w:eastAsia="方正小标宋简体" w:hAnsi="仿宋" w:hint="eastAsia"/>
          <w:color w:val="FF0000"/>
          <w:sz w:val="110"/>
          <w:szCs w:val="110"/>
        </w:rPr>
        <w:t>工作简报</w:t>
      </w:r>
    </w:p>
    <w:p w:rsidR="00187B6A" w:rsidRDefault="00187B6A" w:rsidP="00187B6A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（2023年第4期）</w:t>
      </w:r>
    </w:p>
    <w:p w:rsidR="00187B6A" w:rsidRDefault="00187B6A" w:rsidP="00187B6A">
      <w:pPr>
        <w:jc w:val="center"/>
        <w:rPr>
          <w:rFonts w:ascii="楷体" w:eastAsia="楷体" w:hAnsi="楷体"/>
          <w:sz w:val="32"/>
          <w:szCs w:val="32"/>
        </w:rPr>
      </w:pPr>
    </w:p>
    <w:p w:rsidR="00187B6A" w:rsidRDefault="00187B6A" w:rsidP="00187B6A">
      <w:pPr>
        <w:rPr>
          <w:rFonts w:ascii="楷体" w:eastAsia="楷体" w:hAnsi="楷体"/>
          <w:sz w:val="32"/>
          <w:szCs w:val="32"/>
          <w:u w:val="thick" w:color="FF0000"/>
        </w:rPr>
      </w:pPr>
      <w:r>
        <w:rPr>
          <w:rFonts w:ascii="仿宋" w:eastAsia="仿宋" w:hAnsi="仿宋" w:hint="eastAsia"/>
          <w:sz w:val="32"/>
          <w:szCs w:val="32"/>
          <w:u w:val="thick" w:color="FF0000"/>
        </w:rPr>
        <w:t xml:space="preserve"> </w:t>
      </w:r>
      <w:r>
        <w:rPr>
          <w:rFonts w:ascii="楷体" w:eastAsia="楷体" w:hAnsi="楷体" w:hint="eastAsia"/>
          <w:sz w:val="32"/>
          <w:szCs w:val="32"/>
          <w:u w:val="thick" w:color="FF0000"/>
        </w:rPr>
        <w:t xml:space="preserve">灌南县公平竞争联席会议办公室       2023年9月27日 </w:t>
      </w:r>
    </w:p>
    <w:p w:rsidR="00D2228D" w:rsidRDefault="00D2228D" w:rsidP="008D10A3">
      <w:pPr>
        <w:spacing w:line="60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</w:p>
    <w:p w:rsidR="00DF71ED" w:rsidRPr="008D10A3" w:rsidRDefault="002D0BD9" w:rsidP="008D10A3">
      <w:pPr>
        <w:spacing w:line="60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8D10A3">
        <w:rPr>
          <w:rFonts w:ascii="黑体" w:eastAsia="黑体" w:hAnsi="黑体" w:hint="eastAsia"/>
          <w:kern w:val="0"/>
          <w:sz w:val="32"/>
          <w:szCs w:val="32"/>
        </w:rPr>
        <w:t>一、文件审查情况</w:t>
      </w:r>
    </w:p>
    <w:p w:rsidR="00187B6A" w:rsidRPr="00DF71ED" w:rsidRDefault="008D10A3" w:rsidP="00DF71E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根据县政府</w:t>
      </w:r>
      <w:r w:rsidR="00187B6A" w:rsidRPr="00DF71ED">
        <w:rPr>
          <w:rFonts w:ascii="仿宋" w:eastAsia="仿宋" w:hAnsi="仿宋" w:hint="eastAsia"/>
          <w:kern w:val="0"/>
          <w:sz w:val="32"/>
          <w:szCs w:val="32"/>
        </w:rPr>
        <w:t>工作安排，县公平竞争审查联席会议办公室对</w:t>
      </w:r>
      <w:r w:rsidR="00187B6A" w:rsidRPr="00DF71ED">
        <w:rPr>
          <w:rFonts w:ascii="仿宋" w:eastAsia="仿宋" w:hAnsi="仿宋" w:hint="eastAsia"/>
          <w:sz w:val="32"/>
          <w:szCs w:val="32"/>
        </w:rPr>
        <w:t>科技局、工信局、</w:t>
      </w:r>
      <w:proofErr w:type="gramStart"/>
      <w:r w:rsidR="00187B6A" w:rsidRPr="00DF71ED">
        <w:rPr>
          <w:rFonts w:ascii="仿宋" w:eastAsia="仿宋" w:hAnsi="仿宋" w:hint="eastAsia"/>
          <w:sz w:val="32"/>
          <w:szCs w:val="32"/>
        </w:rPr>
        <w:t>发改委</w:t>
      </w:r>
      <w:proofErr w:type="gramEnd"/>
      <w:r w:rsidR="00187B6A" w:rsidRPr="00DF71ED">
        <w:rPr>
          <w:rFonts w:ascii="仿宋" w:eastAsia="仿宋" w:hAnsi="仿宋" w:hint="eastAsia"/>
          <w:sz w:val="32"/>
          <w:szCs w:val="32"/>
        </w:rPr>
        <w:t>、化工园区分别制定的4份文件进行复核，</w:t>
      </w:r>
      <w:r w:rsidR="00624777">
        <w:rPr>
          <w:rFonts w:ascii="仿宋" w:eastAsia="仿宋" w:hAnsi="仿宋" w:hint="eastAsia"/>
          <w:sz w:val="32"/>
          <w:szCs w:val="32"/>
        </w:rPr>
        <w:t>相关审核情况</w:t>
      </w:r>
      <w:r w:rsidR="00187B6A" w:rsidRPr="00DF71ED">
        <w:rPr>
          <w:rFonts w:ascii="仿宋" w:eastAsia="仿宋" w:hAnsi="仿宋" w:hint="eastAsia"/>
          <w:sz w:val="32"/>
          <w:szCs w:val="32"/>
        </w:rPr>
        <w:t>如下：</w:t>
      </w:r>
    </w:p>
    <w:p w:rsidR="00187B6A" w:rsidRPr="00C40751" w:rsidRDefault="00187B6A" w:rsidP="00187B6A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C40751">
        <w:rPr>
          <w:rFonts w:ascii="仿宋" w:eastAsia="仿宋" w:hAnsi="仿宋" w:hint="eastAsia"/>
          <w:sz w:val="32"/>
          <w:szCs w:val="32"/>
        </w:rPr>
        <w:t>《</w:t>
      </w:r>
      <w:r w:rsidRPr="00C40751">
        <w:rPr>
          <w:rFonts w:ascii="仿宋" w:eastAsia="仿宋" w:hAnsi="仿宋"/>
          <w:sz w:val="32"/>
          <w:szCs w:val="32"/>
        </w:rPr>
        <w:t>灌南县钢铁冶金产业高质量发展实施方案</w:t>
      </w:r>
      <w:r w:rsidRPr="00C40751">
        <w:rPr>
          <w:rFonts w:ascii="仿宋" w:eastAsia="仿宋" w:hAnsi="仿宋" w:hint="eastAsia"/>
          <w:sz w:val="32"/>
          <w:szCs w:val="32"/>
        </w:rPr>
        <w:t>》“三、保障措施（二）加强政策支持。落实好制造业各项税收优惠政策”</w:t>
      </w:r>
      <w:r>
        <w:rPr>
          <w:rFonts w:ascii="仿宋" w:eastAsia="仿宋" w:hAnsi="仿宋" w:hint="eastAsia"/>
          <w:sz w:val="32"/>
          <w:szCs w:val="32"/>
        </w:rPr>
        <w:t>中有关</w:t>
      </w:r>
      <w:r w:rsidRPr="00C40751">
        <w:rPr>
          <w:rFonts w:ascii="仿宋" w:eastAsia="仿宋" w:hAnsi="仿宋" w:hint="eastAsia"/>
          <w:sz w:val="32"/>
          <w:szCs w:val="32"/>
        </w:rPr>
        <w:t>制造业各项税收优惠政策</w:t>
      </w:r>
      <w:r>
        <w:rPr>
          <w:rFonts w:ascii="仿宋" w:eastAsia="仿宋" w:hAnsi="仿宋" w:hint="eastAsia"/>
          <w:sz w:val="32"/>
          <w:szCs w:val="32"/>
        </w:rPr>
        <w:t>，涉嫌违反《公平竞争审查实施细则》第十五条第一款第二项</w:t>
      </w:r>
      <w:r w:rsidR="00624777">
        <w:rPr>
          <w:rFonts w:ascii="仿宋" w:eastAsia="仿宋" w:hAnsi="仿宋" w:hint="eastAsia"/>
          <w:sz w:val="32"/>
          <w:szCs w:val="32"/>
        </w:rPr>
        <w:t>规定，无</w:t>
      </w:r>
      <w:r>
        <w:rPr>
          <w:rFonts w:ascii="仿宋" w:eastAsia="仿宋" w:hAnsi="仿宋" w:hint="eastAsia"/>
          <w:sz w:val="32"/>
          <w:szCs w:val="32"/>
        </w:rPr>
        <w:t>专门的税</w:t>
      </w:r>
      <w:r w:rsidR="00624777">
        <w:rPr>
          <w:rFonts w:ascii="仿宋" w:eastAsia="仿宋" w:hAnsi="仿宋" w:hint="eastAsia"/>
          <w:sz w:val="32"/>
          <w:szCs w:val="32"/>
        </w:rPr>
        <w:t>收</w:t>
      </w:r>
      <w:r>
        <w:rPr>
          <w:rFonts w:ascii="仿宋" w:eastAsia="仿宋" w:hAnsi="仿宋" w:hint="eastAsia"/>
          <w:sz w:val="32"/>
          <w:szCs w:val="32"/>
        </w:rPr>
        <w:t>法律、法规和国务院规定依据，给予特定经营者税收优惠政策，建议修改此表述。</w:t>
      </w:r>
    </w:p>
    <w:p w:rsidR="00187B6A" w:rsidRDefault="00187B6A" w:rsidP="00187B6A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C40751">
        <w:rPr>
          <w:rFonts w:ascii="仿宋" w:eastAsia="仿宋" w:hAnsi="仿宋"/>
          <w:sz w:val="32"/>
          <w:szCs w:val="32"/>
        </w:rPr>
        <w:t>《灌南县机械电子产业高质量发展实施方案》“二、主</w:t>
      </w:r>
      <w:r w:rsidRPr="00C40751">
        <w:rPr>
          <w:rFonts w:ascii="仿宋" w:eastAsia="仿宋" w:hAnsi="仿宋"/>
          <w:sz w:val="32"/>
          <w:szCs w:val="32"/>
        </w:rPr>
        <w:lastRenderedPageBreak/>
        <w:t>要任务（三）突出数字产业引领……全力引培数字产业龙头骨干企业，加快建设园区平台，</w:t>
      </w:r>
      <w:r w:rsidRPr="00B34AD8">
        <w:rPr>
          <w:rFonts w:ascii="仿宋" w:eastAsia="仿宋" w:hAnsi="仿宋"/>
          <w:sz w:val="32"/>
          <w:szCs w:val="32"/>
        </w:rPr>
        <w:t>支持数字产业中小企业抱团发展</w:t>
      </w:r>
      <w:r>
        <w:rPr>
          <w:rFonts w:ascii="仿宋" w:eastAsia="仿宋" w:hAnsi="仿宋"/>
          <w:sz w:val="32"/>
          <w:szCs w:val="32"/>
        </w:rPr>
        <w:t>，形成大中小企业相互支撑、协同合作的数字产业生态体系</w:t>
      </w:r>
      <w:r w:rsidRPr="00C40751">
        <w:rPr>
          <w:rFonts w:ascii="仿宋" w:eastAsia="仿宋" w:hAnsi="仿宋"/>
          <w:sz w:val="32"/>
          <w:szCs w:val="32"/>
        </w:rPr>
        <w:t>”</w:t>
      </w:r>
      <w:r w:rsidR="00B34AD8">
        <w:rPr>
          <w:rFonts w:ascii="仿宋" w:eastAsia="仿宋" w:hAnsi="仿宋"/>
          <w:sz w:val="32"/>
          <w:szCs w:val="32"/>
        </w:rPr>
        <w:t>中“支持数字产业中小企业抱团发展”</w:t>
      </w:r>
      <w:r>
        <w:rPr>
          <w:rFonts w:ascii="仿宋" w:eastAsia="仿宋" w:hAnsi="仿宋"/>
          <w:sz w:val="32"/>
          <w:szCs w:val="32"/>
        </w:rPr>
        <w:t>的表述</w:t>
      </w:r>
      <w:r w:rsidRPr="00C40751">
        <w:rPr>
          <w:rFonts w:ascii="仿宋" w:eastAsia="仿宋" w:hAnsi="仿宋"/>
          <w:sz w:val="32"/>
          <w:szCs w:val="32"/>
        </w:rPr>
        <w:t>涉嫌违反《反垄断法》</w:t>
      </w:r>
      <w:r w:rsidRPr="00C40751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第三十七条之规定</w:t>
      </w:r>
      <w:r w:rsidRPr="00C40751"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  <w:t>，</w:t>
      </w:r>
      <w:r w:rsidRPr="00C40751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制定含有排除、限制竞争的内容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，建议修改此表述。</w:t>
      </w:r>
    </w:p>
    <w:p w:rsidR="00187B6A" w:rsidRDefault="00B34AD8" w:rsidP="00B34AD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F75CC">
        <w:rPr>
          <w:rFonts w:ascii="仿宋" w:eastAsia="仿宋" w:hAnsi="仿宋"/>
          <w:sz w:val="32"/>
          <w:szCs w:val="32"/>
        </w:rPr>
        <w:t>《灌南县化工新材料和精细化工产业高质量发展实施方案》《灌南县绿色食品产业高质量发展实施方案》</w:t>
      </w:r>
      <w:r>
        <w:rPr>
          <w:rFonts w:ascii="仿宋" w:eastAsia="仿宋" w:hAnsi="仿宋"/>
          <w:sz w:val="32"/>
          <w:szCs w:val="32"/>
        </w:rPr>
        <w:t>暂未发现违反</w:t>
      </w:r>
      <w:r>
        <w:rPr>
          <w:rFonts w:ascii="仿宋" w:eastAsia="仿宋" w:hAnsi="仿宋" w:hint="eastAsia"/>
          <w:sz w:val="32"/>
          <w:szCs w:val="32"/>
        </w:rPr>
        <w:t>《公平竞争审查实施细则》标准的情形。</w:t>
      </w:r>
    </w:p>
    <w:p w:rsidR="00D2228D" w:rsidRDefault="00D2228D" w:rsidP="008D10A3">
      <w:pPr>
        <w:spacing w:line="60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</w:p>
    <w:p w:rsidR="00187B6A" w:rsidRPr="008D10A3" w:rsidRDefault="002D0BD9" w:rsidP="008D10A3">
      <w:pPr>
        <w:spacing w:line="60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8D10A3">
        <w:rPr>
          <w:rFonts w:ascii="黑体" w:eastAsia="黑体" w:hAnsi="黑体" w:hint="eastAsia"/>
          <w:kern w:val="0"/>
          <w:sz w:val="32"/>
          <w:szCs w:val="32"/>
        </w:rPr>
        <w:t>二、宣传培训情况</w:t>
      </w:r>
    </w:p>
    <w:p w:rsidR="00DF71ED" w:rsidRPr="008A3EEF" w:rsidRDefault="00DF71ED" w:rsidP="008A3EE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8A3EEF">
        <w:rPr>
          <w:rFonts w:ascii="仿宋" w:eastAsia="仿宋" w:hAnsi="仿宋" w:hint="eastAsia"/>
          <w:kern w:val="0"/>
          <w:sz w:val="32"/>
          <w:szCs w:val="32"/>
        </w:rPr>
        <w:t>9月14日，县市场监管局组织召开</w:t>
      </w:r>
      <w:r w:rsidR="008D10A3" w:rsidRPr="008A3EEF">
        <w:rPr>
          <w:rFonts w:ascii="仿宋" w:eastAsia="仿宋" w:hAnsi="仿宋" w:hint="eastAsia"/>
          <w:kern w:val="0"/>
          <w:sz w:val="32"/>
          <w:szCs w:val="32"/>
        </w:rPr>
        <w:t>全县</w:t>
      </w:r>
      <w:r w:rsidRPr="008A3EEF">
        <w:rPr>
          <w:rFonts w:ascii="仿宋" w:eastAsia="仿宋" w:hAnsi="仿宋" w:hint="eastAsia"/>
          <w:kern w:val="0"/>
          <w:sz w:val="32"/>
          <w:szCs w:val="32"/>
        </w:rPr>
        <w:t>领导干部公平竞争审查专题培训暨联席会议成员单位业务培训会，会议邀请市市场监管局不正当竞争监管处傅佳晨处长、公平竞争审查大数据法</w:t>
      </w:r>
      <w:proofErr w:type="gramStart"/>
      <w:r w:rsidRPr="008A3EEF">
        <w:rPr>
          <w:rFonts w:ascii="仿宋" w:eastAsia="仿宋" w:hAnsi="仿宋" w:hint="eastAsia"/>
          <w:kern w:val="0"/>
          <w:sz w:val="32"/>
          <w:szCs w:val="32"/>
        </w:rPr>
        <w:t>务</w:t>
      </w:r>
      <w:proofErr w:type="gramEnd"/>
      <w:r w:rsidRPr="008A3EEF">
        <w:rPr>
          <w:rFonts w:ascii="仿宋" w:eastAsia="仿宋" w:hAnsi="仿宋" w:hint="eastAsia"/>
          <w:kern w:val="0"/>
          <w:sz w:val="32"/>
          <w:szCs w:val="32"/>
        </w:rPr>
        <w:t>经理、讲师董慧阳老师</w:t>
      </w:r>
      <w:r w:rsidR="00624777" w:rsidRPr="008A3EEF">
        <w:rPr>
          <w:rFonts w:ascii="仿宋" w:eastAsia="仿宋" w:hAnsi="仿宋" w:hint="eastAsia"/>
          <w:kern w:val="0"/>
          <w:sz w:val="32"/>
          <w:szCs w:val="32"/>
        </w:rPr>
        <w:t>作专题辅导</w:t>
      </w:r>
      <w:r w:rsidRPr="008A3EEF">
        <w:rPr>
          <w:rFonts w:ascii="仿宋" w:eastAsia="仿宋" w:hAnsi="仿宋" w:hint="eastAsia"/>
          <w:kern w:val="0"/>
          <w:sz w:val="32"/>
          <w:szCs w:val="32"/>
        </w:rPr>
        <w:t>，各镇及联席会议成员单位分管负责人、业务负责人、县市场监管</w:t>
      </w:r>
      <w:proofErr w:type="gramStart"/>
      <w:r w:rsidRPr="008A3EEF">
        <w:rPr>
          <w:rFonts w:ascii="仿宋" w:eastAsia="仿宋" w:hAnsi="仿宋" w:hint="eastAsia"/>
          <w:kern w:val="0"/>
          <w:sz w:val="32"/>
          <w:szCs w:val="32"/>
        </w:rPr>
        <w:t>局相关</w:t>
      </w:r>
      <w:proofErr w:type="gramEnd"/>
      <w:r w:rsidRPr="008A3EEF">
        <w:rPr>
          <w:rFonts w:ascii="仿宋" w:eastAsia="仿宋" w:hAnsi="仿宋" w:hint="eastAsia"/>
          <w:kern w:val="0"/>
          <w:sz w:val="32"/>
          <w:szCs w:val="32"/>
        </w:rPr>
        <w:t>科室负责人共计80</w:t>
      </w:r>
      <w:r w:rsidR="00624777" w:rsidRPr="008A3EEF">
        <w:rPr>
          <w:rFonts w:ascii="仿宋" w:eastAsia="仿宋" w:hAnsi="仿宋" w:hint="eastAsia"/>
          <w:kern w:val="0"/>
          <w:sz w:val="32"/>
          <w:szCs w:val="32"/>
        </w:rPr>
        <w:t>余人参加培训</w:t>
      </w:r>
      <w:r w:rsidRPr="008A3EEF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187B6A" w:rsidRDefault="00DF71E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8A3EEF">
        <w:rPr>
          <w:rFonts w:ascii="仿宋" w:eastAsia="仿宋" w:hAnsi="仿宋" w:hint="eastAsia"/>
          <w:kern w:val="0"/>
          <w:sz w:val="32"/>
          <w:szCs w:val="32"/>
        </w:rPr>
        <w:t>董慧阳老师从公平竞争审查制度的出台实施、内容框架、典型案例三个</w:t>
      </w:r>
      <w:r w:rsidR="00624777" w:rsidRPr="008A3EEF">
        <w:rPr>
          <w:rFonts w:ascii="仿宋" w:eastAsia="仿宋" w:hAnsi="仿宋" w:hint="eastAsia"/>
          <w:kern w:val="0"/>
          <w:sz w:val="32"/>
          <w:szCs w:val="32"/>
        </w:rPr>
        <w:t>方面进行了详细讲解，对一系列典型案例进行深入剖析，向参会人员</w:t>
      </w:r>
      <w:r w:rsidRPr="008A3EEF">
        <w:rPr>
          <w:rFonts w:ascii="仿宋" w:eastAsia="仿宋" w:hAnsi="仿宋" w:hint="eastAsia"/>
          <w:kern w:val="0"/>
          <w:sz w:val="32"/>
          <w:szCs w:val="32"/>
        </w:rPr>
        <w:t>解读了公平竞争审查制度出台原因、最新要求、概念内涵、审查对象、审查流程等内容，并结合</w:t>
      </w:r>
      <w:r w:rsidR="00624777" w:rsidRPr="008A3EEF">
        <w:rPr>
          <w:rFonts w:ascii="仿宋" w:eastAsia="仿宋" w:hAnsi="仿宋"/>
          <w:kern w:val="0"/>
          <w:sz w:val="32"/>
          <w:szCs w:val="32"/>
        </w:rPr>
        <w:t>有关法律规章及典型案例作</w:t>
      </w:r>
      <w:r w:rsidRPr="008A3EEF">
        <w:rPr>
          <w:rFonts w:ascii="仿宋" w:eastAsia="仿宋" w:hAnsi="仿宋"/>
          <w:kern w:val="0"/>
          <w:sz w:val="32"/>
          <w:szCs w:val="32"/>
        </w:rPr>
        <w:t>深入浅出、精彩生动的阐述，</w:t>
      </w:r>
      <w:r w:rsidRPr="008A3EEF">
        <w:rPr>
          <w:rFonts w:ascii="仿宋" w:eastAsia="仿宋" w:hAnsi="仿宋" w:hint="eastAsia"/>
          <w:kern w:val="0"/>
          <w:sz w:val="32"/>
          <w:szCs w:val="32"/>
        </w:rPr>
        <w:t>为我县下一步公平竞争工作指明了方向，也为各单位开展公平</w:t>
      </w:r>
      <w:r w:rsidRPr="008A3EEF">
        <w:rPr>
          <w:rFonts w:ascii="仿宋" w:eastAsia="仿宋" w:hAnsi="仿宋" w:hint="eastAsia"/>
          <w:kern w:val="0"/>
          <w:sz w:val="32"/>
          <w:szCs w:val="32"/>
        </w:rPr>
        <w:lastRenderedPageBreak/>
        <w:t>竞争审查工作提出了具体方法和措施。</w:t>
      </w: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Default="00D2228D" w:rsidP="008A3EE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D2228D" w:rsidRPr="008A3EEF" w:rsidRDefault="00D2228D" w:rsidP="008A3EE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187B6A" w:rsidTr="00D10DA5">
        <w:trPr>
          <w:trHeight w:val="615"/>
        </w:trPr>
        <w:tc>
          <w:tcPr>
            <w:tcW w:w="9000" w:type="dxa"/>
            <w:tcBorders>
              <w:left w:val="nil"/>
              <w:right w:val="nil"/>
            </w:tcBorders>
          </w:tcPr>
          <w:p w:rsidR="00187B6A" w:rsidRDefault="00187B6A" w:rsidP="00187B6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灌南县公平竞争联席会议办公室       2023年9月27日印发</w:t>
            </w:r>
          </w:p>
        </w:tc>
      </w:tr>
    </w:tbl>
    <w:p w:rsidR="00187B6A" w:rsidRPr="00DF71ED" w:rsidRDefault="00187B6A"/>
    <w:sectPr w:rsidR="00187B6A" w:rsidRPr="00DF71ED" w:rsidSect="000C26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7C" w:rsidRDefault="0076557C" w:rsidP="00187B6A">
      <w:r>
        <w:separator/>
      </w:r>
    </w:p>
  </w:endnote>
  <w:endnote w:type="continuationSeparator" w:id="0">
    <w:p w:rsidR="0076557C" w:rsidRDefault="0076557C" w:rsidP="00187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651" w:rsidRDefault="0076557C">
    <w:pPr>
      <w:pStyle w:val="a4"/>
    </w:pPr>
  </w:p>
  <w:p w:rsidR="000C2651" w:rsidRDefault="007655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7C" w:rsidRDefault="0076557C" w:rsidP="00187B6A">
      <w:r>
        <w:separator/>
      </w:r>
    </w:p>
  </w:footnote>
  <w:footnote w:type="continuationSeparator" w:id="0">
    <w:p w:rsidR="0076557C" w:rsidRDefault="0076557C" w:rsidP="00187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52F9B"/>
    <w:multiLevelType w:val="hybridMultilevel"/>
    <w:tmpl w:val="1B48E5FA"/>
    <w:lvl w:ilvl="0" w:tplc="65F02E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B6A"/>
    <w:rsid w:val="0001614D"/>
    <w:rsid w:val="00041EA8"/>
    <w:rsid w:val="00187B6A"/>
    <w:rsid w:val="002D0BD9"/>
    <w:rsid w:val="00624777"/>
    <w:rsid w:val="0076557C"/>
    <w:rsid w:val="008A3EEF"/>
    <w:rsid w:val="008D10A3"/>
    <w:rsid w:val="00942CE1"/>
    <w:rsid w:val="00B140DC"/>
    <w:rsid w:val="00B14E8D"/>
    <w:rsid w:val="00B34AD8"/>
    <w:rsid w:val="00B7778A"/>
    <w:rsid w:val="00D2228D"/>
    <w:rsid w:val="00DF71ED"/>
    <w:rsid w:val="00EB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7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7B6A"/>
    <w:rPr>
      <w:sz w:val="18"/>
      <w:szCs w:val="18"/>
    </w:rPr>
  </w:style>
  <w:style w:type="paragraph" w:styleId="a5">
    <w:name w:val="List Paragraph"/>
    <w:basedOn w:val="a"/>
    <w:uiPriority w:val="34"/>
    <w:qFormat/>
    <w:rsid w:val="00DF71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gnldl@outlook.com</dc:creator>
  <cp:keywords/>
  <dc:description/>
  <cp:lastModifiedBy>gnldl@outlook.com</cp:lastModifiedBy>
  <cp:revision>22</cp:revision>
  <dcterms:created xsi:type="dcterms:W3CDTF">2023-11-24T05:47:00Z</dcterms:created>
  <dcterms:modified xsi:type="dcterms:W3CDTF">2023-11-27T07:35:00Z</dcterms:modified>
</cp:coreProperties>
</file>