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75DB7">
      <w:pPr>
        <w:pStyle w:val="24"/>
        <w:overflowPunct w:val="0"/>
        <w:autoSpaceDE/>
        <w:autoSpaceDN/>
        <w:spacing w:after="0" w:line="560" w:lineRule="exact"/>
        <w:rPr>
          <w:rFonts w:ascii="Times New Roman" w:hAnsi="Times New Roman" w:eastAsia="方正小标宋简体"/>
          <w:sz w:val="44"/>
          <w:szCs w:val="44"/>
          <w:lang w:eastAsia="zh-CN"/>
        </w:rPr>
      </w:pPr>
    </w:p>
    <w:p w14:paraId="041BA2C0">
      <w:pPr>
        <w:pStyle w:val="24"/>
        <w:overflowPunct w:val="0"/>
        <w:autoSpaceDE/>
        <w:autoSpaceDN/>
        <w:spacing w:after="0" w:line="560" w:lineRule="exact"/>
        <w:rPr>
          <w:rFonts w:ascii="Times New Roman" w:hAnsi="Times New Roman" w:eastAsia="方正小标宋简体"/>
          <w:sz w:val="44"/>
          <w:szCs w:val="44"/>
          <w:lang w:eastAsia="zh-CN"/>
        </w:rPr>
      </w:pPr>
    </w:p>
    <w:p w14:paraId="01822DA2">
      <w:pPr>
        <w:pStyle w:val="24"/>
        <w:overflowPunct w:val="0"/>
        <w:autoSpaceDE/>
        <w:autoSpaceDN/>
        <w:spacing w:after="0" w:line="720" w:lineRule="exact"/>
        <w:rPr>
          <w:rFonts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关于公开征集《灌南县关于推动经济运行率先整体好转若干政策措施》意见的公告</w:t>
      </w:r>
    </w:p>
    <w:p w14:paraId="2648494A">
      <w:pPr>
        <w:pStyle w:val="8"/>
        <w:shd w:val="clear" w:color="auto" w:fill="FFFFFF"/>
        <w:spacing w:before="0" w:beforeAutospacing="0" w:after="0" w:afterAutospacing="0" w:line="540" w:lineRule="atLeast"/>
        <w:rPr>
          <w:rFonts w:ascii="Times New Roman" w:hAnsi="Times New Roman" w:eastAsia="PMingLiU" w:cs="仿宋_GB2312"/>
          <w:sz w:val="44"/>
          <w:szCs w:val="44"/>
          <w:lang w:val="zh-TW" w:eastAsia="zh-TW"/>
        </w:rPr>
      </w:pPr>
    </w:p>
    <w:p w14:paraId="0DF3F8F6">
      <w:pPr>
        <w:pStyle w:val="8"/>
        <w:shd w:val="clear" w:color="auto" w:fill="FFFFFF"/>
        <w:spacing w:before="0" w:beforeAutospacing="0" w:after="0" w:afterAutospacing="0" w:line="540" w:lineRule="atLeast"/>
        <w:rPr>
          <w:rFonts w:ascii="Times New Roman" w:hAnsi="Times New Roman" w:eastAsia="PMingLiU" w:cs="仿宋_GB2312"/>
          <w:sz w:val="44"/>
          <w:szCs w:val="44"/>
          <w:lang w:val="zh-TW" w:eastAsia="zh-TW"/>
        </w:rPr>
      </w:pPr>
    </w:p>
    <w:p w14:paraId="5F963BC4">
      <w:pPr>
        <w:pStyle w:val="8"/>
        <w:shd w:val="clear" w:color="auto" w:fill="FFFFFF"/>
        <w:spacing w:before="0" w:beforeAutospacing="0" w:after="0" w:afterAutospacing="0" w:line="560" w:lineRule="exact"/>
        <w:ind w:firstLine="640" w:firstLineChars="200"/>
        <w:rPr>
          <w:rFonts w:ascii="Times New Roman" w:hAnsi="Times New Roman" w:eastAsia="微软雅黑" w:cs="Times New Roman"/>
          <w:color w:val="000000"/>
          <w:sz w:val="27"/>
          <w:szCs w:val="27"/>
        </w:rPr>
      </w:pPr>
      <w:r>
        <w:rPr>
          <w:rFonts w:ascii="Times New Roman" w:hAnsi="Times New Roman" w:eastAsia="仿宋" w:cs="Times New Roman"/>
          <w:color w:val="000000"/>
          <w:sz w:val="32"/>
          <w:szCs w:val="32"/>
        </w:rPr>
        <w:t>为增强行政规范性文件制定工作的公开性和透明度，现将《灌南县关于推动经济运行率先整体好转若干政策措施》（征求意见稿）公布，征求社会各界意见。有关单位和各界人士可以在2023年4月10日前，通过以下方式提出意见：</w:t>
      </w:r>
    </w:p>
    <w:p w14:paraId="1B6187FE">
      <w:pPr>
        <w:pStyle w:val="8"/>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1.通过信函方式将意见寄至：灌南县新安镇行政中心</w:t>
      </w:r>
      <w:r>
        <w:rPr>
          <w:rFonts w:ascii="Times New Roman" w:hAnsi="Times New Roman" w:eastAsia="仿宋_GB2312" w:cs="Times New Roman"/>
          <w:sz w:val="32"/>
          <w:szCs w:val="32"/>
        </w:rPr>
        <w:t>635</w:t>
      </w:r>
    </w:p>
    <w:p w14:paraId="5F059644">
      <w:pPr>
        <w:pStyle w:val="8"/>
        <w:shd w:val="clear" w:color="auto" w:fill="FFFFFF"/>
        <w:spacing w:before="0" w:beforeAutospacing="0" w:after="0" w:afterAutospacing="0"/>
        <w:rPr>
          <w:rFonts w:ascii="Times New Roman" w:hAnsi="Times New Roman" w:eastAsia="微软雅黑" w:cs="Times New Roman"/>
          <w:color w:val="000000"/>
          <w:sz w:val="27"/>
          <w:szCs w:val="27"/>
        </w:rPr>
      </w:pPr>
      <w:r>
        <w:rPr>
          <w:rFonts w:ascii="Times New Roman" w:hAnsi="Times New Roman" w:eastAsia="仿宋_GB2312" w:cs="Times New Roman"/>
          <w:color w:val="000000"/>
          <w:sz w:val="32"/>
          <w:szCs w:val="32"/>
        </w:rPr>
        <w:t>室，邮政编码:222500。</w:t>
      </w:r>
    </w:p>
    <w:p w14:paraId="529ED8EB">
      <w:pPr>
        <w:pStyle w:val="8"/>
        <w:shd w:val="clear" w:color="auto" w:fill="FFFFFF"/>
        <w:spacing w:before="0" w:beforeAutospacing="0" w:after="0" w:afterAutospacing="0"/>
        <w:ind w:firstLine="640" w:firstLineChars="200"/>
        <w:rPr>
          <w:rFonts w:ascii="Times New Roman" w:hAnsi="Times New Roman" w:eastAsia="微软雅黑" w:cs="Times New Roman"/>
          <w:color w:val="000000"/>
          <w:sz w:val="27"/>
          <w:szCs w:val="27"/>
        </w:rPr>
      </w:pPr>
      <w:r>
        <w:rPr>
          <w:rFonts w:ascii="Times New Roman" w:hAnsi="Times New Roman" w:eastAsia="仿宋_GB2312" w:cs="Times New Roman"/>
          <w:color w:val="000000"/>
          <w:sz w:val="32"/>
          <w:szCs w:val="32"/>
        </w:rPr>
        <w:t>2.通过电话反馈：</w:t>
      </w:r>
      <w:r>
        <w:rPr>
          <w:rFonts w:ascii="Times New Roman" w:hAnsi="Times New Roman" w:eastAsia="仿宋_GB2312" w:cs="Times New Roman"/>
          <w:sz w:val="32"/>
          <w:szCs w:val="32"/>
        </w:rPr>
        <w:t>0518</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83222189，</w:t>
      </w:r>
      <w:r>
        <w:rPr>
          <w:rFonts w:ascii="Times New Roman" w:hAnsi="Times New Roman" w:eastAsia="仿宋_GB2312" w:cs="Times New Roman"/>
          <w:color w:val="000000"/>
          <w:sz w:val="32"/>
          <w:szCs w:val="32"/>
        </w:rPr>
        <w:t>联系人：毕海波。</w:t>
      </w:r>
    </w:p>
    <w:p w14:paraId="6E2C7282">
      <w:pPr>
        <w:pStyle w:val="8"/>
        <w:shd w:val="clear" w:color="auto" w:fill="FFFFFF"/>
        <w:spacing w:before="0" w:beforeAutospacing="0" w:after="0" w:afterAutospacing="0"/>
        <w:ind w:firstLine="640" w:firstLineChars="200"/>
        <w:rPr>
          <w:rFonts w:ascii="Times New Roman" w:hAnsi="Times New Roman" w:eastAsia="微软雅黑" w:cs="Times New Roman"/>
          <w:color w:val="000000"/>
          <w:sz w:val="27"/>
          <w:szCs w:val="27"/>
        </w:rPr>
      </w:pPr>
      <w:r>
        <w:rPr>
          <w:rFonts w:ascii="Times New Roman" w:hAnsi="Times New Roman" w:eastAsia="仿宋_GB2312" w:cs="Times New Roman"/>
          <w:color w:val="000000"/>
          <w:sz w:val="32"/>
          <w:szCs w:val="32"/>
        </w:rPr>
        <w:t>3.通过电子邮件方式将意见发送至邮箱</w:t>
      </w:r>
      <w:r>
        <w:rPr>
          <w:rFonts w:ascii="Times New Roman" w:hAnsi="Times New Roman" w:eastAsia="仿宋_GB2312" w:cs="Times New Roman"/>
          <w:color w:val="000000"/>
          <w:spacing w:val="-20"/>
          <w:sz w:val="32"/>
          <w:szCs w:val="32"/>
        </w:rPr>
        <w:t>gnfgwzhk@163.com。</w:t>
      </w:r>
    </w:p>
    <w:p w14:paraId="34F0206F">
      <w:pPr>
        <w:pStyle w:val="24"/>
        <w:overflowPunct w:val="0"/>
        <w:autoSpaceDE/>
        <w:autoSpaceDN/>
        <w:spacing w:after="0" w:line="560" w:lineRule="exact"/>
        <w:ind w:firstLine="5440" w:firstLineChars="1700"/>
        <w:jc w:val="left"/>
        <w:rPr>
          <w:rFonts w:ascii="仿宋_GB2312" w:cs="微软雅黑" w:hAnsiTheme="minorEastAsia"/>
          <w:sz w:val="32"/>
          <w:szCs w:val="32"/>
          <w:lang w:eastAsia="zh-CN"/>
        </w:rPr>
      </w:pPr>
    </w:p>
    <w:p w14:paraId="1E82426D">
      <w:pPr>
        <w:pStyle w:val="24"/>
        <w:overflowPunct w:val="0"/>
        <w:autoSpaceDE/>
        <w:autoSpaceDN/>
        <w:spacing w:after="0" w:line="560" w:lineRule="exact"/>
        <w:ind w:firstLine="5440" w:firstLineChars="1700"/>
        <w:jc w:val="left"/>
        <w:rPr>
          <w:rFonts w:ascii="Times New Roman" w:hAnsi="Times New Roman" w:cs="Times New Roman"/>
          <w:sz w:val="32"/>
          <w:szCs w:val="32"/>
          <w:lang w:eastAsia="zh-CN"/>
        </w:rPr>
      </w:pPr>
    </w:p>
    <w:p w14:paraId="4F72A360">
      <w:pPr>
        <w:pStyle w:val="24"/>
        <w:overflowPunct w:val="0"/>
        <w:autoSpaceDE/>
        <w:autoSpaceDN/>
        <w:spacing w:after="0" w:line="560" w:lineRule="exact"/>
        <w:ind w:firstLine="5440" w:firstLineChars="1700"/>
        <w:jc w:val="left"/>
        <w:rPr>
          <w:rFonts w:ascii="Times New Roman" w:hAnsi="Times New Roman" w:cs="Times New Roman"/>
          <w:sz w:val="32"/>
          <w:szCs w:val="32"/>
          <w:lang w:eastAsia="zh-CN"/>
        </w:rPr>
      </w:pPr>
      <w:r>
        <w:rPr>
          <w:rFonts w:hint="eastAsia" w:ascii="Times New Roman" w:hAnsi="Times New Roman" w:cs="Times New Roman"/>
          <w:sz w:val="32"/>
          <w:szCs w:val="32"/>
          <w:lang w:eastAsia="zh-CN"/>
        </w:rPr>
        <w:t>灌南</w:t>
      </w:r>
      <w:r>
        <w:rPr>
          <w:rFonts w:ascii="Times New Roman" w:hAnsi="Times New Roman" w:cs="Times New Roman"/>
          <w:sz w:val="32"/>
          <w:szCs w:val="32"/>
          <w:lang w:eastAsia="zh-CN"/>
        </w:rPr>
        <w:t>县发改委</w:t>
      </w:r>
    </w:p>
    <w:p w14:paraId="69C34214">
      <w:pPr>
        <w:pStyle w:val="24"/>
        <w:overflowPunct w:val="0"/>
        <w:autoSpaceDE/>
        <w:autoSpaceDN/>
        <w:spacing w:after="0" w:line="560" w:lineRule="exact"/>
        <w:ind w:firstLine="5120" w:firstLineChars="1600"/>
        <w:jc w:val="left"/>
        <w:rPr>
          <w:rFonts w:ascii="Times New Roman" w:hAnsi="Times New Roman" w:cs="Times New Roman"/>
          <w:sz w:val="32"/>
          <w:szCs w:val="32"/>
        </w:rPr>
      </w:pPr>
      <w:r>
        <w:rPr>
          <w:rFonts w:ascii="Times New Roman" w:hAnsi="Times New Roman" w:cs="Times New Roman"/>
          <w:sz w:val="32"/>
          <w:szCs w:val="32"/>
          <w:lang w:eastAsia="zh-CN"/>
        </w:rPr>
        <w:t>2</w:t>
      </w:r>
      <w:r>
        <w:rPr>
          <w:rFonts w:ascii="Times New Roman" w:hAnsi="Times New Roman" w:cs="Times New Roman"/>
          <w:sz w:val="32"/>
          <w:szCs w:val="32"/>
        </w:rPr>
        <w:t>023</w:t>
      </w:r>
      <w:r>
        <w:rPr>
          <w:rFonts w:ascii="Times New Roman" w:hAnsi="Times New Roman" w:cs="Times New Roman"/>
          <w:sz w:val="32"/>
          <w:szCs w:val="32"/>
          <w:lang w:eastAsia="zh-CN"/>
        </w:rPr>
        <w:t>年3月2</w:t>
      </w:r>
      <w:r>
        <w:rPr>
          <w:rFonts w:ascii="Times New Roman" w:hAnsi="Times New Roman" w:cs="Times New Roman"/>
          <w:sz w:val="32"/>
          <w:szCs w:val="32"/>
        </w:rPr>
        <w:t>9</w:t>
      </w:r>
      <w:r>
        <w:rPr>
          <w:rFonts w:ascii="Times New Roman" w:hAnsi="Times New Roman" w:cs="Times New Roman"/>
          <w:sz w:val="32"/>
          <w:szCs w:val="32"/>
          <w:lang w:eastAsia="zh-CN"/>
        </w:rPr>
        <w:t>日</w:t>
      </w:r>
    </w:p>
    <w:p w14:paraId="3B904170">
      <w:pPr>
        <w:pStyle w:val="24"/>
        <w:overflowPunct w:val="0"/>
        <w:autoSpaceDE/>
        <w:autoSpaceDN/>
        <w:spacing w:after="0" w:line="560" w:lineRule="exact"/>
        <w:jc w:val="left"/>
        <w:rPr>
          <w:rFonts w:asciiTheme="minorEastAsia" w:hAnsiTheme="minorEastAsia" w:eastAsiaTheme="minorEastAsia"/>
          <w:sz w:val="32"/>
          <w:szCs w:val="32"/>
          <w:lang w:eastAsia="zh-CN"/>
        </w:rPr>
      </w:pPr>
    </w:p>
    <w:p w14:paraId="44A4AEF3">
      <w:pPr>
        <w:pStyle w:val="24"/>
        <w:overflowPunct w:val="0"/>
        <w:autoSpaceDE/>
        <w:autoSpaceDN/>
        <w:spacing w:after="0" w:line="560" w:lineRule="exact"/>
        <w:rPr>
          <w:rFonts w:ascii="Times New Roman" w:hAnsi="Times New Roman" w:eastAsia="PMingLiU"/>
          <w:sz w:val="44"/>
          <w:szCs w:val="44"/>
        </w:rPr>
      </w:pPr>
    </w:p>
    <w:p w14:paraId="2D61B289">
      <w:pPr>
        <w:pStyle w:val="24"/>
        <w:overflowPunct w:val="0"/>
        <w:autoSpaceDE/>
        <w:autoSpaceDN/>
        <w:spacing w:after="0" w:line="560" w:lineRule="exact"/>
        <w:rPr>
          <w:rFonts w:ascii="Times New Roman" w:hAnsi="Times New Roman" w:eastAsia="PMingLiU"/>
          <w:sz w:val="44"/>
          <w:szCs w:val="44"/>
        </w:rPr>
      </w:pPr>
    </w:p>
    <w:p w14:paraId="0DC7FE39">
      <w:pPr>
        <w:pStyle w:val="24"/>
        <w:overflowPunct w:val="0"/>
        <w:autoSpaceDE/>
        <w:autoSpaceDN/>
        <w:spacing w:after="0" w:line="560" w:lineRule="exact"/>
        <w:rPr>
          <w:rFonts w:ascii="Times New Roman" w:hAnsi="Times New Roman" w:eastAsia="方正小标宋简体"/>
          <w:sz w:val="44"/>
          <w:szCs w:val="44"/>
        </w:rPr>
      </w:pPr>
      <w:r>
        <w:rPr>
          <w:rFonts w:hint="eastAsia" w:ascii="Times New Roman" w:hAnsi="Times New Roman" w:eastAsia="方正小标宋简体"/>
          <w:sz w:val="44"/>
          <w:szCs w:val="44"/>
          <w:lang w:eastAsia="zh-CN"/>
        </w:rPr>
        <w:t>灌南县</w:t>
      </w:r>
      <w:r>
        <w:rPr>
          <w:rFonts w:hint="eastAsia" w:ascii="Times New Roman" w:hAnsi="Times New Roman" w:eastAsia="方正小标宋简体"/>
          <w:sz w:val="44"/>
          <w:szCs w:val="44"/>
        </w:rPr>
        <w:t>关于推动经济运行率先整体好转</w:t>
      </w:r>
    </w:p>
    <w:p w14:paraId="2B21691D">
      <w:pPr>
        <w:pStyle w:val="24"/>
        <w:overflowPunct w:val="0"/>
        <w:autoSpaceDE/>
        <w:autoSpaceDN/>
        <w:spacing w:after="0" w:line="640" w:lineRule="exact"/>
        <w:rPr>
          <w:rFonts w:ascii="Times New Roman" w:hAnsi="Times New Roman" w:eastAsia="方正小标宋简体"/>
          <w:sz w:val="44"/>
          <w:szCs w:val="44"/>
        </w:rPr>
      </w:pPr>
      <w:r>
        <w:rPr>
          <w:rFonts w:hint="eastAsia" w:ascii="Times New Roman" w:hAnsi="Times New Roman" w:eastAsia="方正小标宋简体"/>
          <w:sz w:val="44"/>
          <w:szCs w:val="44"/>
        </w:rPr>
        <w:t>若干政策措施</w:t>
      </w:r>
    </w:p>
    <w:p w14:paraId="5CF386A8">
      <w:pPr>
        <w:pStyle w:val="24"/>
        <w:overflowPunct w:val="0"/>
        <w:autoSpaceDE/>
        <w:autoSpaceDN/>
        <w:spacing w:after="0" w:line="640" w:lineRule="exact"/>
        <w:rPr>
          <w:rFonts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（征求意见稿）</w:t>
      </w:r>
    </w:p>
    <w:p w14:paraId="539E33D9">
      <w:pPr>
        <w:pStyle w:val="25"/>
        <w:overflowPunct w:val="0"/>
        <w:autoSpaceDN/>
        <w:spacing w:line="560" w:lineRule="exact"/>
        <w:ind w:firstLine="635"/>
        <w:jc w:val="both"/>
        <w:rPr>
          <w:rFonts w:ascii="Times New Roman" w:hAnsi="Times New Roman"/>
          <w:sz w:val="32"/>
          <w:szCs w:val="32"/>
          <w:lang w:eastAsia="zh-CN"/>
        </w:rPr>
      </w:pPr>
    </w:p>
    <w:p w14:paraId="28C1670D">
      <w:pPr>
        <w:pStyle w:val="25"/>
        <w:overflowPunct w:val="0"/>
        <w:autoSpaceDN/>
        <w:spacing w:line="560" w:lineRule="exact"/>
        <w:ind w:firstLine="640" w:firstLineChars="200"/>
        <w:jc w:val="both"/>
        <w:rPr>
          <w:rFonts w:ascii="Times New Roman" w:hAnsi="Times New Roman"/>
          <w:sz w:val="32"/>
          <w:szCs w:val="32"/>
        </w:rPr>
      </w:pPr>
      <w:r>
        <w:rPr>
          <w:rFonts w:hint="eastAsia" w:ascii="Times New Roman" w:hAnsi="Times New Roman"/>
          <w:sz w:val="32"/>
          <w:szCs w:val="32"/>
        </w:rPr>
        <w:t>为进一步提振市场信心、稳定发展预期</w:t>
      </w:r>
      <w:r>
        <w:rPr>
          <w:rFonts w:hint="eastAsia" w:ascii="Times New Roman" w:hAnsi="Times New Roman"/>
          <w:sz w:val="32"/>
          <w:szCs w:val="32"/>
          <w:lang w:eastAsia="zh-CN"/>
        </w:rPr>
        <w:t>，</w:t>
      </w:r>
      <w:r>
        <w:rPr>
          <w:rFonts w:hint="eastAsia" w:ascii="Times New Roman" w:hAnsi="Times New Roman"/>
          <w:sz w:val="32"/>
          <w:szCs w:val="32"/>
        </w:rPr>
        <w:t>最大限度帮助市场主体渡过难关</w:t>
      </w:r>
      <w:r>
        <w:rPr>
          <w:rFonts w:hint="eastAsia" w:ascii="Times New Roman" w:hAnsi="Times New Roman"/>
          <w:sz w:val="32"/>
          <w:szCs w:val="32"/>
          <w:lang w:eastAsia="zh-CN"/>
        </w:rPr>
        <w:t>、</w:t>
      </w:r>
      <w:r>
        <w:rPr>
          <w:rFonts w:hint="eastAsia" w:ascii="Times New Roman" w:hAnsi="Times New Roman"/>
          <w:sz w:val="32"/>
          <w:szCs w:val="32"/>
        </w:rPr>
        <w:t>加快恢复发展</w:t>
      </w:r>
      <w:r>
        <w:rPr>
          <w:rFonts w:hint="eastAsia" w:ascii="Times New Roman" w:hAnsi="Times New Roman"/>
          <w:sz w:val="32"/>
          <w:szCs w:val="32"/>
          <w:lang w:eastAsia="zh-CN"/>
        </w:rPr>
        <w:t>，</w:t>
      </w:r>
      <w:r>
        <w:rPr>
          <w:rFonts w:hint="eastAsia" w:ascii="Times New Roman" w:hAnsi="Times New Roman"/>
          <w:sz w:val="32"/>
          <w:szCs w:val="32"/>
        </w:rPr>
        <w:t>推动全县经济运行率先整体好转</w:t>
      </w:r>
      <w:r>
        <w:rPr>
          <w:rFonts w:hint="eastAsia" w:ascii="Times New Roman" w:hAnsi="Times New Roman"/>
          <w:sz w:val="32"/>
          <w:szCs w:val="32"/>
          <w:lang w:eastAsia="zh-CN"/>
        </w:rPr>
        <w:t>，</w:t>
      </w:r>
      <w:r>
        <w:rPr>
          <w:rFonts w:hint="eastAsia" w:ascii="Times New Roman" w:hAnsi="Times New Roman"/>
          <w:sz w:val="32"/>
          <w:szCs w:val="32"/>
        </w:rPr>
        <w:t>实现高质量发展，</w:t>
      </w:r>
      <w:r>
        <w:rPr>
          <w:rFonts w:hint="eastAsia" w:ascii="Times New Roman" w:hAnsi="Times New Roman"/>
          <w:sz w:val="32"/>
          <w:szCs w:val="32"/>
          <w:lang w:eastAsia="zh-CN"/>
        </w:rPr>
        <w:t>根</w:t>
      </w:r>
      <w:r>
        <w:rPr>
          <w:rFonts w:hint="eastAsia" w:ascii="Times New Roman" w:hAnsi="Times New Roman"/>
          <w:sz w:val="32"/>
          <w:szCs w:val="32"/>
        </w:rPr>
        <w:t>据</w:t>
      </w:r>
      <w:r>
        <w:rPr>
          <w:rFonts w:hint="eastAsia" w:ascii="Times New Roman" w:hAnsi="Times New Roman"/>
          <w:sz w:val="32"/>
          <w:szCs w:val="32"/>
          <w:lang w:eastAsia="zh-CN"/>
        </w:rPr>
        <w:t>市政府</w:t>
      </w:r>
      <w:r>
        <w:rPr>
          <w:rFonts w:hint="eastAsia" w:ascii="Times New Roman" w:hAnsi="Times New Roman"/>
          <w:sz w:val="32"/>
          <w:szCs w:val="32"/>
        </w:rPr>
        <w:t>《</w:t>
      </w:r>
      <w:r>
        <w:rPr>
          <w:sz w:val="32"/>
          <w:szCs w:val="32"/>
        </w:rPr>
        <w:t>关于推动经济运行率先整体好转若干政策措施</w:t>
      </w:r>
      <w:r>
        <w:rPr>
          <w:rFonts w:hint="eastAsia" w:ascii="Times New Roman" w:hAnsi="Times New Roman"/>
          <w:sz w:val="32"/>
          <w:szCs w:val="32"/>
        </w:rPr>
        <w:t>》（连政规发〔</w:t>
      </w:r>
      <w:r>
        <w:rPr>
          <w:rFonts w:ascii="Times New Roman" w:hAnsi="Times New Roman"/>
          <w:sz w:val="32"/>
          <w:szCs w:val="32"/>
        </w:rPr>
        <w:t>2023〕1号</w:t>
      </w:r>
      <w:r>
        <w:rPr>
          <w:rFonts w:hint="eastAsia" w:ascii="Times New Roman" w:hAnsi="Times New Roman"/>
          <w:sz w:val="32"/>
          <w:szCs w:val="32"/>
        </w:rPr>
        <w:t>）精神，制定如下措施。</w:t>
      </w:r>
    </w:p>
    <w:p w14:paraId="39335FA4">
      <w:pPr>
        <w:pStyle w:val="25"/>
        <w:overflowPunct w:val="0"/>
        <w:autoSpaceDN/>
        <w:spacing w:line="560" w:lineRule="exact"/>
        <w:ind w:firstLine="640" w:firstLineChars="200"/>
        <w:jc w:val="both"/>
        <w:rPr>
          <w:rFonts w:ascii="Times New Roman" w:hAnsi="Times New Roman" w:eastAsia="黑体"/>
          <w:sz w:val="32"/>
          <w:szCs w:val="32"/>
          <w:lang w:eastAsia="zh-CN"/>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、持续加大财税支持力度</w:t>
      </w:r>
      <w:bookmarkStart w:id="0" w:name="bookmark9"/>
      <w:bookmarkEnd w:id="0"/>
    </w:p>
    <w:p w14:paraId="36896675">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eastAsia="zh-CN"/>
        </w:rPr>
        <w:t>1.</w:t>
      </w:r>
      <w:r>
        <w:rPr>
          <w:rFonts w:ascii="Times New Roman" w:hAnsi="Times New Roman"/>
          <w:sz w:val="32"/>
          <w:szCs w:val="32"/>
          <w:lang w:val="en-US" w:eastAsia="zh-CN"/>
        </w:rPr>
        <w:t xml:space="preserve"> </w:t>
      </w:r>
      <w:r>
        <w:rPr>
          <w:rFonts w:hint="eastAsia" w:ascii="Times New Roman" w:hAnsi="Times New Roman"/>
          <w:sz w:val="32"/>
          <w:szCs w:val="32"/>
        </w:rPr>
        <w:t>对住宿餐饮、文体娱乐、交通运输、旅游、零售、仓储行业纳税人和增值税小规模纳税人</w:t>
      </w:r>
      <w:r>
        <w:rPr>
          <w:rFonts w:hint="eastAsia" w:ascii="Times New Roman" w:hAnsi="Times New Roman"/>
          <w:sz w:val="32"/>
          <w:szCs w:val="32"/>
          <w:lang w:eastAsia="zh-CN"/>
        </w:rPr>
        <w:t>，</w:t>
      </w:r>
      <w:r>
        <w:rPr>
          <w:rFonts w:hint="eastAsia" w:ascii="Times New Roman" w:hAnsi="Times New Roman"/>
          <w:sz w:val="32"/>
          <w:szCs w:val="32"/>
        </w:rPr>
        <w:t>暂免征收</w:t>
      </w:r>
      <w:r>
        <w:rPr>
          <w:rFonts w:ascii="Times New Roman" w:hAnsi="Times New Roman"/>
          <w:sz w:val="32"/>
          <w:szCs w:val="32"/>
        </w:rPr>
        <w:t>2023</w:t>
      </w:r>
      <w:r>
        <w:rPr>
          <w:rFonts w:hint="eastAsia" w:ascii="Times New Roman" w:hAnsi="Times New Roman"/>
          <w:sz w:val="32"/>
          <w:szCs w:val="32"/>
        </w:rPr>
        <w:t>年上半年房产税</w:t>
      </w:r>
      <w:r>
        <w:rPr>
          <w:rFonts w:hint="eastAsia" w:ascii="Times New Roman" w:hAnsi="Times New Roman"/>
          <w:sz w:val="32"/>
          <w:szCs w:val="32"/>
          <w:lang w:eastAsia="zh-CN"/>
        </w:rPr>
        <w:t>、</w:t>
      </w:r>
      <w:r>
        <w:rPr>
          <w:rFonts w:hint="eastAsia" w:ascii="Times New Roman" w:hAnsi="Times New Roman"/>
          <w:sz w:val="32"/>
          <w:szCs w:val="32"/>
        </w:rPr>
        <w:t>城镇土地使用税。其他行业纳税人生产经营确有困难的，可申请减免房产税、城镇土地使用税。对增值税小规模纳税人、小型微利企业和个体工商户，按照税额的</w:t>
      </w:r>
      <w:r>
        <w:rPr>
          <w:rFonts w:ascii="Times New Roman" w:hAnsi="Times New Roman"/>
          <w:sz w:val="32"/>
          <w:szCs w:val="32"/>
        </w:rPr>
        <w:t>50%</w:t>
      </w:r>
      <w:r>
        <w:rPr>
          <w:rFonts w:hint="eastAsia" w:ascii="Times New Roman" w:hAnsi="Times New Roman"/>
          <w:sz w:val="32"/>
          <w:szCs w:val="32"/>
        </w:rPr>
        <w:t>减征资源税、城</w:t>
      </w:r>
      <w:r>
        <w:rPr>
          <w:rFonts w:hint="eastAsia" w:ascii="Times New Roman" w:hAnsi="Times New Roman"/>
          <w:sz w:val="32"/>
          <w:szCs w:val="32"/>
          <w:lang w:eastAsia="zh-CN"/>
        </w:rPr>
        <w:t>市</w:t>
      </w:r>
      <w:r>
        <w:rPr>
          <w:rFonts w:hint="eastAsia" w:ascii="Times New Roman" w:hAnsi="Times New Roman"/>
          <w:sz w:val="32"/>
          <w:szCs w:val="32"/>
        </w:rPr>
        <w:t>维护建设税</w:t>
      </w:r>
      <w:r>
        <w:rPr>
          <w:rFonts w:hint="eastAsia" w:ascii="Times New Roman" w:hAnsi="Times New Roman"/>
          <w:sz w:val="32"/>
          <w:szCs w:val="32"/>
          <w:lang w:eastAsia="zh-CN"/>
        </w:rPr>
        <w:t>、</w:t>
      </w:r>
      <w:r>
        <w:rPr>
          <w:rFonts w:hint="eastAsia" w:ascii="Times New Roman" w:hAnsi="Times New Roman"/>
          <w:sz w:val="32"/>
          <w:szCs w:val="32"/>
        </w:rPr>
        <w:t>房产税</w:t>
      </w:r>
      <w:r>
        <w:rPr>
          <w:rFonts w:hint="eastAsia" w:ascii="Times New Roman" w:hAnsi="Times New Roman"/>
          <w:sz w:val="32"/>
          <w:szCs w:val="32"/>
          <w:lang w:eastAsia="zh-CN"/>
        </w:rPr>
        <w:t>、</w:t>
      </w:r>
      <w:r>
        <w:rPr>
          <w:rFonts w:hint="eastAsia" w:ascii="Times New Roman" w:hAnsi="Times New Roman"/>
          <w:sz w:val="32"/>
          <w:szCs w:val="32"/>
        </w:rPr>
        <w:t>城镇土地使用税</w:t>
      </w:r>
      <w:r>
        <w:rPr>
          <w:rFonts w:hint="eastAsia" w:ascii="Times New Roman" w:hAnsi="Times New Roman"/>
          <w:sz w:val="32"/>
          <w:szCs w:val="32"/>
          <w:lang w:eastAsia="zh-CN"/>
        </w:rPr>
        <w:t>、</w:t>
      </w:r>
      <w:r>
        <w:rPr>
          <w:rFonts w:hint="eastAsia" w:ascii="Times New Roman" w:hAnsi="Times New Roman"/>
          <w:sz w:val="32"/>
          <w:szCs w:val="32"/>
        </w:rPr>
        <w:t>印花税（不含证券交易印花税）</w:t>
      </w:r>
      <w:r>
        <w:rPr>
          <w:rFonts w:hint="eastAsia" w:ascii="Times New Roman" w:hAnsi="Times New Roman"/>
          <w:sz w:val="32"/>
          <w:szCs w:val="32"/>
          <w:lang w:eastAsia="zh-CN"/>
        </w:rPr>
        <w:t>、</w:t>
      </w:r>
      <w:r>
        <w:rPr>
          <w:rFonts w:hint="eastAsia" w:ascii="Times New Roman" w:hAnsi="Times New Roman"/>
          <w:sz w:val="32"/>
          <w:szCs w:val="32"/>
        </w:rPr>
        <w:t>耕地占用税和教育费附加、地方教育附加，执行期限至</w:t>
      </w:r>
      <w:r>
        <w:rPr>
          <w:rFonts w:ascii="Times New Roman" w:hAnsi="Times New Roman"/>
          <w:sz w:val="32"/>
          <w:szCs w:val="32"/>
        </w:rPr>
        <w:t>2024</w:t>
      </w:r>
      <w:r>
        <w:rPr>
          <w:rFonts w:hint="eastAsia" w:ascii="Times New Roman" w:hAnsi="Times New Roman"/>
          <w:sz w:val="32"/>
          <w:szCs w:val="32"/>
        </w:rPr>
        <w:t>年</w:t>
      </w:r>
      <w:r>
        <w:rPr>
          <w:rFonts w:ascii="Times New Roman" w:hAnsi="Times New Roman"/>
          <w:sz w:val="32"/>
          <w:szCs w:val="32"/>
        </w:rPr>
        <w:t>12</w:t>
      </w:r>
      <w:r>
        <w:rPr>
          <w:rFonts w:hint="eastAsia" w:ascii="Times New Roman" w:hAnsi="Times New Roman"/>
          <w:sz w:val="32"/>
          <w:szCs w:val="32"/>
        </w:rPr>
        <w:t>月</w:t>
      </w:r>
      <w:r>
        <w:rPr>
          <w:rFonts w:ascii="Times New Roman" w:hAnsi="Times New Roman"/>
          <w:sz w:val="32"/>
          <w:szCs w:val="32"/>
        </w:rPr>
        <w:t>31</w:t>
      </w:r>
      <w:r>
        <w:rPr>
          <w:rFonts w:hint="eastAsia" w:ascii="Times New Roman" w:hAnsi="Times New Roman"/>
          <w:sz w:val="32"/>
          <w:szCs w:val="32"/>
        </w:rPr>
        <w:t>日。</w:t>
      </w:r>
      <w:r>
        <w:rPr>
          <w:rFonts w:hint="eastAsia" w:ascii="楷体_GB2312" w:hAnsi="Times New Roman" w:eastAsia="楷体_GB2312"/>
          <w:sz w:val="32"/>
          <w:szCs w:val="32"/>
          <w:lang w:eastAsia="zh-CN"/>
        </w:rPr>
        <w:t>（责任单位：县税务局、县财政局）</w:t>
      </w:r>
      <w:bookmarkStart w:id="1" w:name="bookmark10"/>
      <w:bookmarkEnd w:id="1"/>
    </w:p>
    <w:p w14:paraId="4DF2359F">
      <w:pPr>
        <w:pStyle w:val="25"/>
        <w:overflowPunct w:val="0"/>
        <w:autoSpaceDN/>
        <w:spacing w:line="560" w:lineRule="exact"/>
        <w:ind w:firstLine="640" w:firstLineChars="200"/>
        <w:jc w:val="both"/>
        <w:rPr>
          <w:rFonts w:ascii="Times New Roman" w:hAnsi="Times New Roman"/>
          <w:b/>
          <w:sz w:val="32"/>
          <w:szCs w:val="32"/>
          <w:lang w:eastAsia="zh-CN"/>
        </w:rPr>
      </w:pPr>
      <w:r>
        <w:rPr>
          <w:rFonts w:ascii="Times New Roman" w:hAnsi="Times New Roman"/>
          <w:sz w:val="32"/>
          <w:szCs w:val="32"/>
          <w:lang w:eastAsia="zh-CN"/>
        </w:rPr>
        <w:t>2.</w:t>
      </w:r>
      <w:r>
        <w:rPr>
          <w:rFonts w:ascii="Times New Roman" w:hAnsi="Times New Roman"/>
          <w:sz w:val="32"/>
          <w:szCs w:val="32"/>
          <w:lang w:val="en-US" w:eastAsia="zh-CN"/>
        </w:rPr>
        <w:t xml:space="preserve"> </w:t>
      </w:r>
      <w:r>
        <w:rPr>
          <w:rFonts w:hint="eastAsia" w:ascii="Times New Roman" w:hAnsi="Times New Roman"/>
          <w:sz w:val="32"/>
          <w:szCs w:val="32"/>
        </w:rPr>
        <w:t>自</w:t>
      </w:r>
      <w:r>
        <w:rPr>
          <w:rFonts w:ascii="Times New Roman" w:hAnsi="Times New Roman"/>
          <w:sz w:val="32"/>
          <w:szCs w:val="32"/>
        </w:rPr>
        <w:t>2023</w:t>
      </w:r>
      <w:r>
        <w:rPr>
          <w:rFonts w:hint="eastAsia" w:ascii="Times New Roman" w:hAnsi="Times New Roman"/>
          <w:sz w:val="32"/>
          <w:szCs w:val="32"/>
        </w:rPr>
        <w:t>年</w:t>
      </w:r>
      <w:r>
        <w:rPr>
          <w:rFonts w:ascii="Times New Roman" w:hAnsi="Times New Roman"/>
          <w:sz w:val="32"/>
          <w:szCs w:val="32"/>
        </w:rPr>
        <w:t>1</w:t>
      </w:r>
      <w:r>
        <w:rPr>
          <w:rFonts w:hint="eastAsia" w:ascii="Times New Roman" w:hAnsi="Times New Roman"/>
          <w:sz w:val="32"/>
          <w:szCs w:val="32"/>
        </w:rPr>
        <w:t>月</w:t>
      </w:r>
      <w:r>
        <w:rPr>
          <w:rFonts w:ascii="Times New Roman" w:hAnsi="Times New Roman"/>
          <w:sz w:val="32"/>
          <w:szCs w:val="32"/>
        </w:rPr>
        <w:t>1</w:t>
      </w:r>
      <w:r>
        <w:rPr>
          <w:rFonts w:hint="eastAsia" w:ascii="Times New Roman" w:hAnsi="Times New Roman"/>
          <w:sz w:val="32"/>
          <w:szCs w:val="32"/>
        </w:rPr>
        <w:t>日至</w:t>
      </w:r>
      <w:r>
        <w:rPr>
          <w:rFonts w:ascii="Times New Roman" w:hAnsi="Times New Roman"/>
          <w:sz w:val="32"/>
          <w:szCs w:val="32"/>
        </w:rPr>
        <w:t>12</w:t>
      </w:r>
      <w:r>
        <w:rPr>
          <w:rFonts w:hint="eastAsia" w:ascii="Times New Roman" w:hAnsi="Times New Roman"/>
          <w:sz w:val="32"/>
          <w:szCs w:val="32"/>
        </w:rPr>
        <w:t>月</w:t>
      </w:r>
      <w:r>
        <w:rPr>
          <w:rFonts w:ascii="Times New Roman" w:hAnsi="Times New Roman"/>
          <w:sz w:val="32"/>
          <w:szCs w:val="32"/>
        </w:rPr>
        <w:t>31</w:t>
      </w:r>
      <w:r>
        <w:rPr>
          <w:rFonts w:hint="eastAsia" w:ascii="Times New Roman" w:hAnsi="Times New Roman"/>
          <w:sz w:val="32"/>
          <w:szCs w:val="32"/>
        </w:rPr>
        <w:t>日，对月销售额</w:t>
      </w:r>
      <w:r>
        <w:rPr>
          <w:rFonts w:ascii="Times New Roman" w:hAnsi="Times New Roman"/>
          <w:sz w:val="32"/>
          <w:szCs w:val="32"/>
        </w:rPr>
        <w:t>10</w:t>
      </w:r>
      <w:r>
        <w:rPr>
          <w:rFonts w:hint="eastAsia" w:ascii="Times New Roman" w:hAnsi="Times New Roman"/>
          <w:sz w:val="32"/>
          <w:szCs w:val="32"/>
        </w:rPr>
        <w:t>万元以下（含本数）的增值税小规模纳税人，免征增值税</w:t>
      </w:r>
      <w:r>
        <w:rPr>
          <w:rFonts w:hint="eastAsia" w:ascii="Times New Roman" w:hAnsi="Times New Roman"/>
          <w:sz w:val="32"/>
          <w:szCs w:val="32"/>
          <w:lang w:eastAsia="zh-CN"/>
        </w:rPr>
        <w:t>；</w:t>
      </w:r>
      <w:r>
        <w:rPr>
          <w:rFonts w:hint="eastAsia" w:ascii="Times New Roman" w:hAnsi="Times New Roman"/>
          <w:sz w:val="32"/>
          <w:szCs w:val="32"/>
        </w:rPr>
        <w:t>增值税小规模纳税人适用</w:t>
      </w:r>
      <w:r>
        <w:rPr>
          <w:rFonts w:ascii="Times New Roman" w:hAnsi="Times New Roman"/>
          <w:sz w:val="32"/>
          <w:szCs w:val="32"/>
        </w:rPr>
        <w:t>3%</w:t>
      </w:r>
      <w:r>
        <w:rPr>
          <w:rFonts w:hint="eastAsia" w:ascii="Times New Roman" w:hAnsi="Times New Roman"/>
          <w:sz w:val="32"/>
          <w:szCs w:val="32"/>
        </w:rPr>
        <w:t>征收率的应税销售收入，减按</w:t>
      </w:r>
      <w:r>
        <w:rPr>
          <w:rFonts w:ascii="Times New Roman" w:hAnsi="Times New Roman"/>
          <w:sz w:val="32"/>
          <w:szCs w:val="32"/>
        </w:rPr>
        <w:t>1%</w:t>
      </w:r>
      <w:r>
        <w:rPr>
          <w:rFonts w:hint="eastAsia" w:ascii="Times New Roman" w:hAnsi="Times New Roman"/>
          <w:sz w:val="32"/>
          <w:szCs w:val="32"/>
        </w:rPr>
        <w:t>征收率征收增值税</w:t>
      </w:r>
      <w:r>
        <w:rPr>
          <w:rFonts w:hint="eastAsia" w:ascii="Times New Roman" w:hAnsi="Times New Roman"/>
          <w:sz w:val="32"/>
          <w:szCs w:val="32"/>
          <w:lang w:eastAsia="zh-CN"/>
        </w:rPr>
        <w:t>；</w:t>
      </w:r>
      <w:r>
        <w:rPr>
          <w:rFonts w:hint="eastAsia" w:ascii="Times New Roman" w:hAnsi="Times New Roman"/>
          <w:sz w:val="32"/>
          <w:szCs w:val="32"/>
        </w:rPr>
        <w:t>适用</w:t>
      </w:r>
      <w:r>
        <w:rPr>
          <w:rFonts w:ascii="Times New Roman" w:hAnsi="Times New Roman"/>
          <w:sz w:val="32"/>
          <w:szCs w:val="32"/>
        </w:rPr>
        <w:t>3%</w:t>
      </w:r>
      <w:r>
        <w:rPr>
          <w:rFonts w:hint="eastAsia" w:ascii="Times New Roman" w:hAnsi="Times New Roman"/>
          <w:sz w:val="32"/>
          <w:szCs w:val="32"/>
        </w:rPr>
        <w:t>预征率的预缴增值税项目，减按</w:t>
      </w:r>
      <w:r>
        <w:rPr>
          <w:rFonts w:ascii="Times New Roman" w:hAnsi="Times New Roman"/>
          <w:sz w:val="32"/>
          <w:szCs w:val="32"/>
        </w:rPr>
        <w:t>1%</w:t>
      </w:r>
      <w:r>
        <w:rPr>
          <w:rFonts w:hint="eastAsia" w:ascii="Times New Roman" w:hAnsi="Times New Roman"/>
          <w:sz w:val="32"/>
          <w:szCs w:val="32"/>
        </w:rPr>
        <w:t>预征率预缴增值税</w:t>
      </w:r>
      <w:r>
        <w:rPr>
          <w:rFonts w:hint="eastAsia" w:ascii="Times New Roman" w:hAnsi="Times New Roman"/>
          <w:sz w:val="32"/>
          <w:szCs w:val="32"/>
          <w:lang w:eastAsia="zh-CN"/>
        </w:rPr>
        <w:t>；</w:t>
      </w:r>
      <w:r>
        <w:rPr>
          <w:rFonts w:hint="eastAsia" w:ascii="Times New Roman" w:hAnsi="Times New Roman"/>
          <w:sz w:val="32"/>
          <w:szCs w:val="32"/>
        </w:rPr>
        <w:t>允许生产性服务业纳税人按照当期可抵扣进项税额加计</w:t>
      </w:r>
      <w:r>
        <w:rPr>
          <w:rFonts w:ascii="Times New Roman" w:hAnsi="Times New Roman"/>
          <w:sz w:val="32"/>
          <w:szCs w:val="32"/>
        </w:rPr>
        <w:t>5%</w:t>
      </w:r>
      <w:r>
        <w:rPr>
          <w:rFonts w:hint="eastAsia" w:ascii="Times New Roman" w:hAnsi="Times New Roman"/>
          <w:sz w:val="32"/>
          <w:szCs w:val="32"/>
        </w:rPr>
        <w:t>抵减应纳税额</w:t>
      </w:r>
      <w:r>
        <w:rPr>
          <w:rFonts w:hint="eastAsia" w:ascii="Times New Roman" w:hAnsi="Times New Roman"/>
          <w:sz w:val="32"/>
          <w:szCs w:val="32"/>
          <w:lang w:eastAsia="zh-CN"/>
        </w:rPr>
        <w:t>；</w:t>
      </w:r>
      <w:r>
        <w:rPr>
          <w:rFonts w:hint="eastAsia" w:ascii="Times New Roman" w:hAnsi="Times New Roman"/>
          <w:sz w:val="32"/>
          <w:szCs w:val="32"/>
        </w:rPr>
        <w:t>允许生活性服务业纳税人按照当期可抵扣进项税额加计</w:t>
      </w:r>
      <w:r>
        <w:rPr>
          <w:rFonts w:ascii="Times New Roman" w:hAnsi="Times New Roman"/>
          <w:sz w:val="32"/>
          <w:szCs w:val="32"/>
        </w:rPr>
        <w:t>10%</w:t>
      </w:r>
      <w:r>
        <w:rPr>
          <w:rFonts w:hint="eastAsia" w:ascii="Times New Roman" w:hAnsi="Times New Roman"/>
          <w:sz w:val="32"/>
          <w:szCs w:val="32"/>
        </w:rPr>
        <w:t>抵减应纳税额。</w:t>
      </w:r>
      <w:r>
        <w:rPr>
          <w:rFonts w:hint="eastAsia" w:ascii="楷体_GB2312" w:hAnsi="Times New Roman" w:eastAsia="楷体_GB2312"/>
          <w:sz w:val="32"/>
          <w:szCs w:val="32"/>
          <w:lang w:eastAsia="zh-CN"/>
        </w:rPr>
        <w:t>（责任单位：县税务局、县财政局）</w:t>
      </w:r>
      <w:bookmarkStart w:id="2" w:name="bookmark11"/>
      <w:bookmarkEnd w:id="2"/>
    </w:p>
    <w:p w14:paraId="4E6A6955">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eastAsia="zh-CN"/>
        </w:rPr>
        <w:t>3.</w:t>
      </w:r>
      <w:r>
        <w:rPr>
          <w:rFonts w:ascii="Times New Roman" w:hAnsi="Times New Roman"/>
          <w:sz w:val="32"/>
          <w:szCs w:val="32"/>
          <w:lang w:val="en-US" w:eastAsia="zh-CN"/>
        </w:rPr>
        <w:t xml:space="preserve"> </w:t>
      </w:r>
      <w:r>
        <w:rPr>
          <w:rFonts w:hint="eastAsia" w:ascii="Times New Roman" w:hAnsi="Times New Roman"/>
          <w:sz w:val="32"/>
          <w:szCs w:val="32"/>
        </w:rPr>
        <w:t>免征符合条件的科技企业孵化器和众创空间孵化服务增值税</w:t>
      </w:r>
      <w:r>
        <w:rPr>
          <w:rFonts w:hint="eastAsia" w:ascii="Times New Roman" w:hAnsi="Times New Roman"/>
          <w:sz w:val="32"/>
          <w:szCs w:val="32"/>
          <w:lang w:eastAsia="zh-CN"/>
        </w:rPr>
        <w:t>，</w:t>
      </w:r>
      <w:r>
        <w:rPr>
          <w:rFonts w:hint="eastAsia" w:ascii="Times New Roman" w:hAnsi="Times New Roman"/>
          <w:sz w:val="32"/>
          <w:szCs w:val="32"/>
        </w:rPr>
        <w:t>对其自用及提供给在孵对象使用的房产、土地免征房产税和城镇土地使用税。</w:t>
      </w:r>
      <w:r>
        <w:rPr>
          <w:rFonts w:hint="eastAsia" w:ascii="楷体_GB2312" w:hAnsi="Times New Roman" w:eastAsia="楷体_GB2312"/>
          <w:sz w:val="32"/>
          <w:szCs w:val="32"/>
          <w:lang w:eastAsia="zh-CN"/>
        </w:rPr>
        <w:t>（责任单位：县科技局、县税务局、县财政局）</w:t>
      </w:r>
      <w:bookmarkStart w:id="3" w:name="bookmark12"/>
      <w:bookmarkEnd w:id="3"/>
    </w:p>
    <w:p w14:paraId="0E801F1F">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eastAsia="zh-CN"/>
        </w:rPr>
        <w:t>4.</w:t>
      </w:r>
      <w:r>
        <w:rPr>
          <w:rFonts w:ascii="Times New Roman" w:hAnsi="Times New Roman"/>
          <w:sz w:val="32"/>
          <w:szCs w:val="32"/>
          <w:lang w:val="en-US" w:eastAsia="zh-CN"/>
        </w:rPr>
        <w:t xml:space="preserve"> </w:t>
      </w:r>
      <w:r>
        <w:rPr>
          <w:rFonts w:hint="eastAsia" w:ascii="Times New Roman" w:hAnsi="Times New Roman"/>
          <w:sz w:val="32"/>
          <w:szCs w:val="32"/>
        </w:rPr>
        <w:t>符合条件的创投企业和天使投资个人对初创科技型企业投资的，按投资额</w:t>
      </w:r>
      <w:r>
        <w:rPr>
          <w:rFonts w:ascii="Times New Roman" w:hAnsi="Times New Roman"/>
          <w:sz w:val="32"/>
          <w:szCs w:val="32"/>
        </w:rPr>
        <w:t>70%</w:t>
      </w:r>
      <w:r>
        <w:rPr>
          <w:rFonts w:hint="eastAsia" w:ascii="Times New Roman" w:hAnsi="Times New Roman"/>
          <w:sz w:val="32"/>
          <w:szCs w:val="32"/>
        </w:rPr>
        <w:t>抵扣应纳税所得额。</w:t>
      </w:r>
      <w:r>
        <w:rPr>
          <w:rFonts w:hint="eastAsia" w:ascii="楷体_GB2312" w:hAnsi="Times New Roman" w:eastAsia="楷体_GB2312"/>
          <w:sz w:val="32"/>
          <w:szCs w:val="32"/>
          <w:lang w:eastAsia="zh-CN"/>
        </w:rPr>
        <w:t>（责任单位：县税务局、县财政局）</w:t>
      </w:r>
    </w:p>
    <w:p w14:paraId="470C05E3">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二、强化金融对实体经济的支持</w:t>
      </w:r>
      <w:bookmarkStart w:id="4" w:name="bookmark13"/>
      <w:bookmarkEnd w:id="4"/>
    </w:p>
    <w:p w14:paraId="7D4917BC">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eastAsia="zh-CN"/>
        </w:rPr>
        <w:t>5.</w:t>
      </w:r>
      <w:r>
        <w:rPr>
          <w:rFonts w:ascii="Times New Roman" w:hAnsi="Times New Roman"/>
          <w:sz w:val="32"/>
          <w:szCs w:val="32"/>
          <w:lang w:val="en-US" w:eastAsia="zh-CN"/>
        </w:rPr>
        <w:t xml:space="preserve"> </w:t>
      </w:r>
      <w:r>
        <w:rPr>
          <w:rFonts w:hint="eastAsia" w:ascii="Times New Roman" w:hAnsi="Times New Roman"/>
          <w:sz w:val="32"/>
          <w:szCs w:val="32"/>
        </w:rPr>
        <w:t>设立</w:t>
      </w:r>
      <w:r>
        <w:rPr>
          <w:rFonts w:ascii="Times New Roman" w:hAnsi="Times New Roman"/>
          <w:sz w:val="32"/>
          <w:szCs w:val="32"/>
          <w:lang w:val="en-US" w:eastAsia="zh-CN"/>
        </w:rPr>
        <w:t>1000</w:t>
      </w:r>
      <w:r>
        <w:rPr>
          <w:rFonts w:hint="eastAsia" w:ascii="Times New Roman" w:hAnsi="Times New Roman"/>
          <w:sz w:val="32"/>
          <w:szCs w:val="32"/>
          <w:lang w:val="en-US" w:eastAsia="zh-CN"/>
        </w:rPr>
        <w:t>万</w:t>
      </w:r>
      <w:r>
        <w:rPr>
          <w:rFonts w:hint="eastAsia" w:ascii="Times New Roman" w:hAnsi="Times New Roman"/>
          <w:sz w:val="32"/>
          <w:szCs w:val="32"/>
        </w:rPr>
        <w:t>元</w:t>
      </w:r>
      <w:r>
        <w:rPr>
          <w:rFonts w:hint="eastAsia" w:ascii="Times New Roman" w:hAnsi="Times New Roman"/>
          <w:sz w:val="32"/>
          <w:szCs w:val="32"/>
          <w:lang w:eastAsia="zh-CN"/>
        </w:rPr>
        <w:t>县</w:t>
      </w:r>
      <w:r>
        <w:rPr>
          <w:rFonts w:hint="eastAsia" w:ascii="Times New Roman" w:hAnsi="Times New Roman"/>
          <w:sz w:val="32"/>
          <w:szCs w:val="32"/>
        </w:rPr>
        <w:t>级风险补偿基金池</w:t>
      </w:r>
      <w:r>
        <w:rPr>
          <w:rFonts w:hint="eastAsia" w:ascii="Times New Roman" w:hAnsi="Times New Roman"/>
          <w:sz w:val="32"/>
          <w:szCs w:val="32"/>
          <w:lang w:eastAsia="zh-CN"/>
        </w:rPr>
        <w:t>，</w:t>
      </w:r>
      <w:r>
        <w:rPr>
          <w:rFonts w:hint="eastAsia" w:ascii="Times New Roman" w:hAnsi="Times New Roman"/>
          <w:sz w:val="32"/>
          <w:szCs w:val="32"/>
        </w:rPr>
        <w:t>提高担保规模</w:t>
      </w:r>
      <w:r>
        <w:rPr>
          <w:rFonts w:hint="eastAsia" w:ascii="Times New Roman" w:hAnsi="Times New Roman"/>
          <w:sz w:val="32"/>
          <w:szCs w:val="32"/>
          <w:lang w:eastAsia="zh-CN"/>
        </w:rPr>
        <w:t>，</w:t>
      </w:r>
      <w:r>
        <w:rPr>
          <w:rFonts w:hint="eastAsia" w:ascii="Times New Roman" w:hAnsi="Times New Roman"/>
          <w:sz w:val="32"/>
          <w:szCs w:val="32"/>
        </w:rPr>
        <w:t>用于支持中小微企业纾困发展、增产增效。扩大小微贷、苏科贷、富民创业贷等融资规模</w:t>
      </w:r>
      <w:r>
        <w:rPr>
          <w:rFonts w:hint="eastAsia" w:ascii="Times New Roman" w:hAnsi="Times New Roman"/>
          <w:sz w:val="32"/>
          <w:szCs w:val="32"/>
          <w:lang w:eastAsia="zh-CN"/>
        </w:rPr>
        <w:t>，</w:t>
      </w:r>
      <w:r>
        <w:rPr>
          <w:rFonts w:hint="eastAsia" w:ascii="Times New Roman" w:hAnsi="Times New Roman"/>
          <w:sz w:val="32"/>
          <w:szCs w:val="32"/>
        </w:rPr>
        <w:t>降低融资利率</w:t>
      </w:r>
      <w:r>
        <w:rPr>
          <w:rFonts w:hint="eastAsia" w:ascii="Times New Roman" w:hAnsi="Times New Roman"/>
          <w:sz w:val="32"/>
          <w:szCs w:val="32"/>
          <w:lang w:eastAsia="zh-CN"/>
        </w:rPr>
        <w:t>，</w:t>
      </w:r>
      <w:r>
        <w:rPr>
          <w:rFonts w:hint="eastAsia" w:ascii="Times New Roman" w:hAnsi="Times New Roman"/>
          <w:sz w:val="32"/>
          <w:szCs w:val="32"/>
        </w:rPr>
        <w:t>重点投放信用贷、首贷，符合条件的最高可给予不良贷款金额</w:t>
      </w:r>
      <w:r>
        <w:rPr>
          <w:rFonts w:ascii="Times New Roman" w:hAnsi="Times New Roman"/>
          <w:sz w:val="32"/>
          <w:szCs w:val="32"/>
        </w:rPr>
        <w:t>80%</w:t>
      </w:r>
      <w:r>
        <w:rPr>
          <w:rFonts w:hint="eastAsia" w:ascii="Times New Roman" w:hAnsi="Times New Roman"/>
          <w:sz w:val="32"/>
          <w:szCs w:val="32"/>
        </w:rPr>
        <w:t>的风险补偿</w:t>
      </w:r>
      <w:r>
        <w:rPr>
          <w:rFonts w:hint="eastAsia" w:ascii="Times New Roman" w:hAnsi="Times New Roman"/>
          <w:sz w:val="32"/>
          <w:szCs w:val="32"/>
          <w:lang w:eastAsia="zh-CN"/>
        </w:rPr>
        <w:t>，全年发放各类普惠金融贷款</w:t>
      </w:r>
      <w:r>
        <w:rPr>
          <w:rFonts w:ascii="Times New Roman" w:hAnsi="Times New Roman"/>
          <w:sz w:val="32"/>
          <w:szCs w:val="32"/>
          <w:lang w:eastAsia="zh-CN"/>
        </w:rPr>
        <w:t>4.6</w:t>
      </w:r>
      <w:r>
        <w:rPr>
          <w:rFonts w:hint="eastAsia" w:ascii="Times New Roman" w:hAnsi="Times New Roman"/>
          <w:sz w:val="32"/>
          <w:szCs w:val="32"/>
          <w:lang w:eastAsia="zh-CN"/>
        </w:rPr>
        <w:t>亿元。</w:t>
      </w:r>
      <w:r>
        <w:rPr>
          <w:rFonts w:hint="eastAsia" w:ascii="楷体_GB2312" w:hAnsi="Times New Roman" w:eastAsia="楷体_GB2312"/>
          <w:sz w:val="32"/>
          <w:szCs w:val="32"/>
          <w:lang w:eastAsia="zh-CN"/>
        </w:rPr>
        <w:t>（责任单位：县财政局、县金融办、县科技局、县人社局、县工信局、人行灌南县支行）</w:t>
      </w:r>
      <w:bookmarkStart w:id="5" w:name="bookmark15"/>
      <w:bookmarkEnd w:id="5"/>
      <w:bookmarkStart w:id="6" w:name="bookmark16"/>
      <w:bookmarkEnd w:id="6"/>
      <w:bookmarkStart w:id="7" w:name="bookmark14"/>
      <w:bookmarkEnd w:id="7"/>
    </w:p>
    <w:p w14:paraId="7A103CEE">
      <w:pPr>
        <w:widowControl/>
        <w:overflowPunct w:val="0"/>
        <w:autoSpaceDN/>
        <w:spacing w:line="560" w:lineRule="exact"/>
        <w:ind w:firstLine="640" w:firstLineChars="200"/>
        <w:jc w:val="both"/>
        <w:rPr>
          <w:rFonts w:ascii="Times New Roman" w:hAnsi="Times New Roman"/>
          <w:b/>
          <w:sz w:val="32"/>
          <w:szCs w:val="32"/>
          <w:lang w:val="zh-TW" w:eastAsia="zh-TW"/>
        </w:rPr>
      </w:pPr>
      <w:r>
        <w:rPr>
          <w:rFonts w:ascii="Times New Roman" w:hAnsi="Times New Roman"/>
          <w:sz w:val="32"/>
          <w:szCs w:val="32"/>
          <w:lang w:val="zh-TW" w:eastAsia="zh-TW"/>
        </w:rPr>
        <w:t>6.</w:t>
      </w:r>
      <w:r>
        <w:rPr>
          <w:rFonts w:ascii="Times New Roman" w:hAnsi="Times New Roman"/>
          <w:sz w:val="32"/>
          <w:szCs w:val="32"/>
          <w:lang w:val="en-US"/>
        </w:rPr>
        <w:t xml:space="preserve"> </w:t>
      </w:r>
      <w:r>
        <w:rPr>
          <w:rFonts w:hint="eastAsia" w:ascii="Times New Roman" w:hAnsi="Times New Roman"/>
          <w:sz w:val="32"/>
          <w:szCs w:val="32"/>
          <w:lang w:val="zh-TW" w:eastAsia="zh-TW"/>
        </w:rPr>
        <w:t>加大综合金融服务平台推广应用力度，引导金融机构和企业积极使用综合金融服务平台开展融资对接</w:t>
      </w:r>
      <w:r>
        <w:rPr>
          <w:rFonts w:hint="eastAsia" w:ascii="Times New Roman" w:hAnsi="Times New Roman"/>
          <w:sz w:val="32"/>
          <w:szCs w:val="32"/>
          <w:lang w:val="zh-TW"/>
        </w:rPr>
        <w:t>，</w:t>
      </w:r>
      <w:r>
        <w:rPr>
          <w:rFonts w:hint="eastAsia" w:ascii="Times New Roman" w:hAnsi="Times New Roman"/>
          <w:sz w:val="32"/>
          <w:szCs w:val="32"/>
          <w:lang w:val="zh-TW" w:eastAsia="zh-TW"/>
        </w:rPr>
        <w:t>推动银行业机构依托综合金融服务平台为中小微企业提供授信不低于</w:t>
      </w:r>
      <w:r>
        <w:rPr>
          <w:rFonts w:ascii="Times New Roman" w:hAnsi="Times New Roman"/>
          <w:sz w:val="32"/>
          <w:szCs w:val="32"/>
          <w:lang w:val="zh-TW" w:eastAsia="zh-TW"/>
        </w:rPr>
        <w:t>40</w:t>
      </w:r>
      <w:r>
        <w:rPr>
          <w:rFonts w:hint="eastAsia" w:ascii="Times New Roman" w:hAnsi="Times New Roman"/>
          <w:sz w:val="32"/>
          <w:szCs w:val="32"/>
          <w:lang w:val="zh-TW" w:eastAsia="zh-TW"/>
        </w:rPr>
        <w:t>亿元。</w:t>
      </w:r>
      <w:r>
        <w:rPr>
          <w:rFonts w:hint="eastAsia" w:ascii="楷体_GB2312" w:hAnsi="Times New Roman" w:eastAsia="楷体_GB2312"/>
          <w:sz w:val="32"/>
          <w:szCs w:val="32"/>
          <w:lang w:val="zh-TW" w:eastAsia="zh-TW"/>
        </w:rPr>
        <w:t>（责任单位：县金融办、人行灌南县支行</w:t>
      </w:r>
      <w:r>
        <w:rPr>
          <w:rFonts w:hint="eastAsia" w:ascii="楷体_GB2312" w:hAnsi="Times New Roman" w:eastAsia="楷体_GB2312"/>
          <w:sz w:val="32"/>
          <w:szCs w:val="32"/>
          <w:lang w:val="zh-TW"/>
        </w:rPr>
        <w:t>、县</w:t>
      </w:r>
      <w:r>
        <w:rPr>
          <w:rFonts w:hint="eastAsia" w:ascii="楷体_GB2312" w:hAnsi="Times New Roman" w:eastAsia="楷体_GB2312"/>
          <w:sz w:val="32"/>
          <w:szCs w:val="32"/>
          <w:lang w:val="zh-TW" w:eastAsia="zh-TW"/>
        </w:rPr>
        <w:t>各银行机构）</w:t>
      </w:r>
    </w:p>
    <w:p w14:paraId="0F8716E2">
      <w:pPr>
        <w:widowControl/>
        <w:overflowPunct w:val="0"/>
        <w:autoSpaceDN/>
        <w:spacing w:line="560" w:lineRule="exact"/>
        <w:ind w:firstLine="640" w:firstLineChars="200"/>
        <w:jc w:val="both"/>
        <w:rPr>
          <w:rFonts w:ascii="Times New Roman" w:hAnsi="Times New Roman"/>
          <w:b/>
          <w:bCs/>
          <w:sz w:val="32"/>
          <w:szCs w:val="32"/>
          <w:lang w:val="zh-TW" w:eastAsia="zh-TW"/>
        </w:rPr>
      </w:pPr>
      <w:r>
        <w:rPr>
          <w:rFonts w:ascii="Times New Roman" w:hAnsi="Times New Roman"/>
          <w:sz w:val="32"/>
          <w:szCs w:val="32"/>
          <w:lang w:val="zh-TW" w:eastAsia="zh-TW"/>
        </w:rPr>
        <w:t>7.</w:t>
      </w:r>
      <w:r>
        <w:rPr>
          <w:rFonts w:ascii="Times New Roman" w:hAnsi="Times New Roman"/>
          <w:sz w:val="32"/>
          <w:szCs w:val="32"/>
          <w:lang w:val="en-US"/>
        </w:rPr>
        <w:t xml:space="preserve"> </w:t>
      </w:r>
      <w:r>
        <w:rPr>
          <w:rFonts w:hint="eastAsia" w:ascii="Times New Roman" w:hAnsi="Times New Roman"/>
          <w:sz w:val="32"/>
          <w:szCs w:val="32"/>
          <w:lang w:val="zh-TW" w:eastAsia="zh-TW"/>
        </w:rPr>
        <w:t>积极利用人民银行再贷款</w:t>
      </w:r>
      <w:r>
        <w:rPr>
          <w:rFonts w:hint="eastAsia" w:ascii="Times New Roman" w:hAnsi="Times New Roman"/>
          <w:sz w:val="32"/>
          <w:szCs w:val="32"/>
          <w:lang w:val="zh-TW"/>
        </w:rPr>
        <w:t>、</w:t>
      </w:r>
      <w:r>
        <w:rPr>
          <w:rFonts w:hint="eastAsia" w:ascii="Times New Roman" w:hAnsi="Times New Roman"/>
          <w:sz w:val="32"/>
          <w:szCs w:val="32"/>
          <w:lang w:val="zh-TW" w:eastAsia="zh-TW"/>
        </w:rPr>
        <w:t>再贴现等货币政策工具</w:t>
      </w:r>
      <w:r>
        <w:rPr>
          <w:rFonts w:hint="eastAsia" w:ascii="Times New Roman" w:hAnsi="Times New Roman"/>
          <w:sz w:val="32"/>
          <w:szCs w:val="32"/>
          <w:lang w:val="zh-TW"/>
        </w:rPr>
        <w:t>，</w:t>
      </w:r>
      <w:r>
        <w:rPr>
          <w:rFonts w:hint="eastAsia" w:ascii="Times New Roman" w:hAnsi="Times New Roman"/>
          <w:sz w:val="32"/>
          <w:szCs w:val="32"/>
          <w:lang w:val="zh-TW" w:eastAsia="zh-TW"/>
        </w:rPr>
        <w:t>为法人机构贷款投放提供低成本资金支持</w:t>
      </w:r>
      <w:r>
        <w:rPr>
          <w:rFonts w:hint="eastAsia" w:ascii="Times New Roman" w:hAnsi="Times New Roman"/>
          <w:sz w:val="32"/>
          <w:szCs w:val="32"/>
          <w:lang w:val="zh-TW"/>
        </w:rPr>
        <w:t>。</w:t>
      </w:r>
      <w:r>
        <w:rPr>
          <w:rFonts w:hint="eastAsia" w:ascii="Times New Roman" w:hAnsi="Times New Roman"/>
          <w:sz w:val="32"/>
          <w:szCs w:val="32"/>
          <w:lang w:val="zh-TW" w:eastAsia="zh-TW"/>
        </w:rPr>
        <w:t>支持符合条件的法人银行机构发行永续债、二级资本债以及小微、双创等专项金融债补充资本金和中长期资金，缓解贷款资本约束，提升信贷投放能力。</w:t>
      </w:r>
      <w:r>
        <w:rPr>
          <w:rFonts w:hint="eastAsia" w:ascii="楷体_GB2312" w:hAnsi="Times New Roman" w:eastAsia="楷体_GB2312"/>
          <w:sz w:val="32"/>
          <w:szCs w:val="32"/>
          <w:lang w:val="zh-TW" w:eastAsia="zh-TW"/>
        </w:rPr>
        <w:t>（责任单位：人行灌南县支行、县金融办）</w:t>
      </w:r>
    </w:p>
    <w:p w14:paraId="2306CA60">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 xml:space="preserve">8. </w:t>
      </w:r>
      <w:r>
        <w:rPr>
          <w:rFonts w:hint="eastAsia" w:ascii="Times New Roman" w:hAnsi="Times New Roman"/>
          <w:sz w:val="32"/>
          <w:szCs w:val="32"/>
          <w:lang w:val="en-US" w:eastAsia="zh-CN"/>
        </w:rPr>
        <w:t>支持县内各银行以更优惠的利率积极投放中长期贷款，重点支持市场化的社会投资特别是民间投资项目，引导资金投向科技创新、先进制造业与现代服务业融合发展等重点领域和关键环节。</w:t>
      </w:r>
      <w:r>
        <w:rPr>
          <w:rFonts w:hint="eastAsia" w:ascii="楷体_GB2312" w:hAnsi="Times New Roman" w:eastAsia="楷体_GB2312"/>
          <w:sz w:val="32"/>
          <w:szCs w:val="32"/>
          <w:lang w:eastAsia="zh-CN"/>
        </w:rPr>
        <w:t>（责任单位：人行灌南县支行、县金融办）</w:t>
      </w:r>
    </w:p>
    <w:p w14:paraId="300EBC3A">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9</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rPr>
        <w:t>进一步发挥好</w:t>
      </w:r>
      <w:r>
        <w:rPr>
          <w:rFonts w:hint="eastAsia" w:ascii="Times New Roman" w:hAnsi="Times New Roman"/>
          <w:sz w:val="32"/>
          <w:szCs w:val="32"/>
          <w:lang w:eastAsia="zh-CN"/>
        </w:rPr>
        <w:t>县</w:t>
      </w:r>
      <w:r>
        <w:rPr>
          <w:rFonts w:hint="eastAsia" w:ascii="Times New Roman" w:hAnsi="Times New Roman"/>
          <w:sz w:val="32"/>
          <w:szCs w:val="32"/>
        </w:rPr>
        <w:t>级风险补偿基金助力企业加快恢复好转作用</w:t>
      </w:r>
      <w:r>
        <w:rPr>
          <w:rFonts w:hint="eastAsia" w:ascii="Times New Roman" w:hAnsi="Times New Roman"/>
          <w:sz w:val="32"/>
          <w:szCs w:val="32"/>
          <w:lang w:eastAsia="zh-CN"/>
        </w:rPr>
        <w:t>，</w:t>
      </w:r>
      <w:r>
        <w:rPr>
          <w:rFonts w:hint="eastAsia" w:ascii="Times New Roman" w:hAnsi="Times New Roman"/>
          <w:sz w:val="32"/>
          <w:szCs w:val="32"/>
        </w:rPr>
        <w:t>引导和撬动合作银行业机构更多发放中</w:t>
      </w:r>
      <w:r>
        <w:rPr>
          <w:rFonts w:hint="eastAsia" w:ascii="Times New Roman" w:hAnsi="Times New Roman"/>
          <w:sz w:val="32"/>
          <w:szCs w:val="32"/>
          <w:lang w:eastAsia="zh-CN"/>
        </w:rPr>
        <w:t>短</w:t>
      </w:r>
      <w:r>
        <w:rPr>
          <w:rFonts w:hint="eastAsia" w:ascii="Times New Roman" w:hAnsi="Times New Roman"/>
          <w:sz w:val="32"/>
          <w:szCs w:val="32"/>
        </w:rPr>
        <w:t>期信用贷款，加大对小微企业信贷支持力度。</w:t>
      </w:r>
      <w:r>
        <w:rPr>
          <w:rFonts w:hint="eastAsia" w:ascii="楷体_GB2312" w:hAnsi="Times New Roman" w:eastAsia="楷体_GB2312"/>
          <w:sz w:val="32"/>
          <w:szCs w:val="32"/>
          <w:lang w:eastAsia="zh-CN"/>
        </w:rPr>
        <w:t>（责任单位：县金融办、人行灌南县支行、县财政局）</w:t>
      </w:r>
      <w:bookmarkStart w:id="8" w:name="bookmark21"/>
      <w:bookmarkEnd w:id="8"/>
      <w:bookmarkStart w:id="9" w:name="bookmark20"/>
      <w:bookmarkEnd w:id="9"/>
      <w:bookmarkStart w:id="10" w:name="bookmark19"/>
      <w:bookmarkEnd w:id="10"/>
    </w:p>
    <w:p w14:paraId="07449483">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 xml:space="preserve">10. </w:t>
      </w:r>
      <w:r>
        <w:rPr>
          <w:rFonts w:hint="eastAsia" w:ascii="Times New Roman" w:hAnsi="Times New Roman"/>
          <w:sz w:val="32"/>
          <w:szCs w:val="32"/>
          <w:lang w:val="en-US" w:eastAsia="zh-CN"/>
        </w:rPr>
        <w:t>对发放普惠小微贷款较好的地方法人金融机构，按普惠小微贷款余额增量的</w:t>
      </w:r>
      <w:r>
        <w:rPr>
          <w:rFonts w:ascii="Times New Roman" w:hAnsi="Times New Roman"/>
          <w:sz w:val="32"/>
          <w:szCs w:val="32"/>
          <w:lang w:val="en-US" w:eastAsia="zh-CN"/>
        </w:rPr>
        <w:t>2%</w:t>
      </w:r>
      <w:r>
        <w:rPr>
          <w:rFonts w:hint="eastAsia" w:ascii="Times New Roman" w:hAnsi="Times New Roman"/>
          <w:sz w:val="32"/>
          <w:szCs w:val="32"/>
          <w:lang w:val="en-US" w:eastAsia="zh-CN"/>
        </w:rPr>
        <w:t>给予激励资金。</w:t>
      </w:r>
      <w:r>
        <w:rPr>
          <w:rFonts w:hint="eastAsia" w:ascii="Times New Roman" w:hAnsi="Times New Roman"/>
          <w:b/>
          <w:sz w:val="32"/>
          <w:szCs w:val="32"/>
          <w:lang w:eastAsia="zh-CN"/>
        </w:rPr>
        <w:t>（</w:t>
      </w:r>
      <w:r>
        <w:rPr>
          <w:rFonts w:hint="eastAsia" w:ascii="楷体_GB2312" w:hAnsi="Times New Roman" w:eastAsia="楷体_GB2312"/>
          <w:sz w:val="32"/>
          <w:szCs w:val="32"/>
          <w:lang w:eastAsia="zh-CN"/>
        </w:rPr>
        <w:t>责任单位：人行灌南县支行、县金融办）</w:t>
      </w:r>
    </w:p>
    <w:p w14:paraId="475807FB">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 xml:space="preserve">11. </w:t>
      </w:r>
      <w:r>
        <w:rPr>
          <w:rFonts w:hint="eastAsia" w:ascii="Times New Roman" w:hAnsi="Times New Roman"/>
          <w:sz w:val="32"/>
          <w:szCs w:val="32"/>
          <w:lang w:val="en-US" w:eastAsia="zh-CN"/>
        </w:rPr>
        <w:t>支持推动政府性融资担保机构建立健全能担、愿担、敢担的工作机制，专注服务小微企业、个体工商户及农户</w:t>
      </w:r>
      <w:r>
        <w:rPr>
          <w:rFonts w:hint="eastAsia" w:ascii="Times New Roman" w:hAnsi="Times New Roman"/>
          <w:sz w:val="32"/>
          <w:szCs w:val="32"/>
        </w:rPr>
        <w:t>、新型农业经营主体等</w:t>
      </w:r>
      <w:r>
        <w:rPr>
          <w:rFonts w:hint="eastAsia" w:ascii="Times New Roman" w:hAnsi="Times New Roman"/>
          <w:sz w:val="32"/>
          <w:szCs w:val="32"/>
          <w:lang w:eastAsia="zh-CN"/>
        </w:rPr>
        <w:t>市</w:t>
      </w:r>
      <w:r>
        <w:rPr>
          <w:rFonts w:hint="eastAsia" w:ascii="Times New Roman" w:hAnsi="Times New Roman"/>
          <w:sz w:val="32"/>
          <w:szCs w:val="32"/>
        </w:rPr>
        <w:t>场主体</w:t>
      </w:r>
      <w:r>
        <w:rPr>
          <w:rFonts w:hint="eastAsia" w:ascii="Times New Roman" w:hAnsi="Times New Roman"/>
          <w:sz w:val="32"/>
          <w:szCs w:val="32"/>
          <w:lang w:eastAsia="zh-CN"/>
        </w:rPr>
        <w:t>，</w:t>
      </w:r>
      <w:r>
        <w:rPr>
          <w:rFonts w:hint="eastAsia" w:ascii="Times New Roman" w:hAnsi="Times New Roman"/>
          <w:sz w:val="32"/>
          <w:szCs w:val="32"/>
        </w:rPr>
        <w:t>其中政府性融资担保机构平均担保费率不高于</w:t>
      </w:r>
      <w:r>
        <w:rPr>
          <w:rFonts w:ascii="Times New Roman" w:hAnsi="Times New Roman"/>
          <w:sz w:val="32"/>
          <w:szCs w:val="32"/>
        </w:rPr>
        <w:t>1%</w:t>
      </w:r>
      <w:r>
        <w:rPr>
          <w:rFonts w:hint="eastAsia" w:ascii="Times New Roman" w:hAnsi="Times New Roman"/>
          <w:sz w:val="32"/>
          <w:szCs w:val="32"/>
        </w:rPr>
        <w:t>。</w:t>
      </w:r>
      <w:r>
        <w:rPr>
          <w:rFonts w:hint="eastAsia" w:ascii="楷体_GB2312" w:hAnsi="Times New Roman" w:eastAsia="楷体_GB2312"/>
          <w:sz w:val="32"/>
          <w:szCs w:val="32"/>
          <w:lang w:eastAsia="zh-CN"/>
        </w:rPr>
        <w:t>（责任单位：县金融办、县财政局）</w:t>
      </w:r>
      <w:bookmarkStart w:id="11" w:name="bookmark22"/>
      <w:bookmarkEnd w:id="11"/>
      <w:bookmarkStart w:id="12" w:name="bookmark23"/>
      <w:bookmarkEnd w:id="12"/>
    </w:p>
    <w:p w14:paraId="50F255C6">
      <w:pPr>
        <w:widowControl/>
        <w:overflowPunct w:val="0"/>
        <w:autoSpaceDN/>
        <w:spacing w:line="560" w:lineRule="exact"/>
        <w:ind w:firstLine="640" w:firstLineChars="200"/>
        <w:jc w:val="both"/>
        <w:rPr>
          <w:rFonts w:ascii="楷体_GB2312" w:hAnsi="Times New Roman" w:eastAsia="楷体_GB2312"/>
          <w:sz w:val="32"/>
          <w:szCs w:val="32"/>
          <w:lang w:val="zh-TW" w:eastAsia="zh-TW"/>
        </w:rPr>
      </w:pPr>
      <w:r>
        <w:rPr>
          <w:rFonts w:ascii="Times New Roman" w:hAnsi="Times New Roman" w:eastAsia="PMingLiU"/>
          <w:sz w:val="32"/>
          <w:szCs w:val="32"/>
          <w:lang w:val="zh-TW" w:eastAsia="zh-TW"/>
        </w:rPr>
        <w:t>12</w:t>
      </w:r>
      <w:r>
        <w:rPr>
          <w:rFonts w:ascii="Times New Roman" w:hAnsi="Times New Roman"/>
          <w:sz w:val="32"/>
          <w:szCs w:val="32"/>
          <w:lang w:val="zh-TW" w:eastAsia="zh-TW"/>
        </w:rPr>
        <w:t>.</w:t>
      </w:r>
      <w:r>
        <w:rPr>
          <w:rFonts w:ascii="Times New Roman" w:hAnsi="Times New Roman"/>
          <w:sz w:val="32"/>
          <w:szCs w:val="32"/>
          <w:lang w:val="en-US"/>
        </w:rPr>
        <w:t xml:space="preserve"> </w:t>
      </w:r>
      <w:r>
        <w:rPr>
          <w:rFonts w:hint="eastAsia" w:ascii="Times New Roman" w:hAnsi="Times New Roman"/>
          <w:sz w:val="32"/>
          <w:szCs w:val="32"/>
          <w:lang w:val="zh-TW" w:eastAsia="zh-TW"/>
        </w:rPr>
        <w:t>用足用好区域性股权市场与全国股转系统绿色通道审查机制、全国股转系统与北京证券交易所挂牌上市直联机制，加快推进优质企业对接多层次资本市场，全年</w:t>
      </w:r>
      <w:r>
        <w:rPr>
          <w:rFonts w:hint="eastAsia" w:ascii="Times New Roman" w:hAnsi="Times New Roman"/>
          <w:sz w:val="32"/>
          <w:szCs w:val="32"/>
          <w:lang w:val="zh-TW"/>
        </w:rPr>
        <w:t>确保</w:t>
      </w:r>
      <w:r>
        <w:rPr>
          <w:rFonts w:ascii="Times New Roman" w:hAnsi="Times New Roman"/>
          <w:sz w:val="32"/>
          <w:szCs w:val="32"/>
          <w:lang w:val="zh-TW" w:eastAsia="zh-TW"/>
        </w:rPr>
        <w:t>1</w:t>
      </w:r>
      <w:r>
        <w:rPr>
          <w:rFonts w:hint="eastAsia" w:ascii="Times New Roman" w:hAnsi="Times New Roman"/>
          <w:sz w:val="32"/>
          <w:szCs w:val="32"/>
          <w:lang w:val="zh-TW" w:eastAsia="zh-TW"/>
        </w:rPr>
        <w:t>家企业发行上市，</w:t>
      </w:r>
      <w:r>
        <w:rPr>
          <w:rFonts w:ascii="Times New Roman" w:hAnsi="Times New Roman"/>
          <w:sz w:val="32"/>
          <w:szCs w:val="32"/>
          <w:lang w:val="zh-TW" w:eastAsia="zh-TW"/>
        </w:rPr>
        <w:t>5</w:t>
      </w:r>
      <w:r>
        <w:rPr>
          <w:rFonts w:hint="eastAsia" w:ascii="Times New Roman" w:hAnsi="Times New Roman"/>
          <w:sz w:val="32"/>
          <w:szCs w:val="32"/>
          <w:lang w:val="zh-TW" w:eastAsia="zh-TW"/>
        </w:rPr>
        <w:t>家以上企业在区域股权交易中心挂牌。</w:t>
      </w:r>
      <w:r>
        <w:rPr>
          <w:rFonts w:hint="eastAsia" w:ascii="楷体_GB2312" w:hAnsi="Times New Roman" w:eastAsia="楷体_GB2312"/>
          <w:sz w:val="32"/>
          <w:szCs w:val="32"/>
          <w:lang w:val="zh-TW" w:eastAsia="zh-TW"/>
        </w:rPr>
        <w:t>（责任单位：县金融办</w:t>
      </w:r>
      <w:r>
        <w:rPr>
          <w:rFonts w:hint="eastAsia" w:ascii="楷体_GB2312" w:hAnsi="Times New Roman" w:eastAsia="楷体_GB2312"/>
          <w:sz w:val="32"/>
          <w:szCs w:val="32"/>
          <w:lang w:val="zh-TW"/>
        </w:rPr>
        <w:t>、</w:t>
      </w:r>
      <w:r>
        <w:rPr>
          <w:rFonts w:hint="eastAsia" w:ascii="楷体_GB2312" w:hAnsi="Times New Roman" w:eastAsia="楷体_GB2312"/>
          <w:sz w:val="32"/>
          <w:szCs w:val="32"/>
          <w:lang w:val="zh-TW" w:eastAsia="zh-TW"/>
        </w:rPr>
        <w:t>各镇、各园区、</w:t>
      </w:r>
      <w:r>
        <w:rPr>
          <w:rFonts w:hint="eastAsia" w:ascii="楷体_GB2312" w:hAnsi="Times New Roman" w:eastAsia="楷体_GB2312"/>
          <w:sz w:val="32"/>
          <w:szCs w:val="32"/>
          <w:lang w:val="zh-TW"/>
        </w:rPr>
        <w:t>县</w:t>
      </w:r>
      <w:r>
        <w:rPr>
          <w:rFonts w:hint="eastAsia" w:ascii="楷体_GB2312" w:hAnsi="Times New Roman" w:eastAsia="楷体_GB2312"/>
          <w:sz w:val="32"/>
          <w:szCs w:val="32"/>
          <w:lang w:val="zh-TW" w:eastAsia="zh-TW"/>
        </w:rPr>
        <w:t>各</w:t>
      </w:r>
      <w:r>
        <w:rPr>
          <w:rFonts w:hint="eastAsia" w:ascii="楷体_GB2312" w:hAnsi="Times New Roman" w:eastAsia="楷体_GB2312"/>
          <w:sz w:val="32"/>
          <w:szCs w:val="32"/>
          <w:lang w:val="zh-TW"/>
        </w:rPr>
        <w:t>有</w:t>
      </w:r>
      <w:r>
        <w:rPr>
          <w:rFonts w:hint="eastAsia" w:ascii="楷体_GB2312" w:hAnsi="Times New Roman" w:eastAsia="楷体_GB2312"/>
          <w:sz w:val="32"/>
          <w:szCs w:val="32"/>
          <w:lang w:val="zh-TW" w:eastAsia="zh-TW"/>
        </w:rPr>
        <w:t>关部门）</w:t>
      </w:r>
    </w:p>
    <w:p w14:paraId="46CE2370">
      <w:pPr>
        <w:widowControl/>
        <w:overflowPunct w:val="0"/>
        <w:autoSpaceDN/>
        <w:spacing w:line="560" w:lineRule="exact"/>
        <w:ind w:firstLine="640" w:firstLineChars="200"/>
        <w:jc w:val="both"/>
        <w:rPr>
          <w:rFonts w:ascii="楷体_GB2312" w:hAnsi="Times New Roman" w:eastAsia="楷体_GB2312"/>
          <w:sz w:val="32"/>
          <w:szCs w:val="32"/>
          <w:lang w:val="zh-TW" w:eastAsia="zh-TW"/>
        </w:rPr>
      </w:pPr>
      <w:r>
        <w:rPr>
          <w:rFonts w:ascii="Times New Roman" w:hAnsi="Times New Roman" w:eastAsia="PMingLiU"/>
          <w:sz w:val="32"/>
          <w:szCs w:val="32"/>
          <w:lang w:val="zh-TW" w:eastAsia="zh-TW"/>
        </w:rPr>
        <w:t>13</w:t>
      </w:r>
      <w:r>
        <w:rPr>
          <w:rFonts w:ascii="Times New Roman" w:hAnsi="Times New Roman"/>
          <w:sz w:val="32"/>
          <w:szCs w:val="32"/>
          <w:lang w:val="zh-TW" w:eastAsia="zh-TW"/>
        </w:rPr>
        <w:t>.</w:t>
      </w:r>
      <w:r>
        <w:rPr>
          <w:rFonts w:ascii="Times New Roman" w:hAnsi="Times New Roman"/>
          <w:sz w:val="32"/>
          <w:szCs w:val="32"/>
          <w:lang w:val="en-US"/>
        </w:rPr>
        <w:t xml:space="preserve"> </w:t>
      </w:r>
      <w:r>
        <w:rPr>
          <w:rFonts w:hint="eastAsia" w:ascii="Times New Roman" w:hAnsi="Times New Roman"/>
          <w:sz w:val="32"/>
          <w:szCs w:val="32"/>
          <w:lang w:val="zh-TW" w:eastAsia="zh-TW"/>
        </w:rPr>
        <w:t>加大应急转贷基金宣传力度，为更多中小企业提供转贷支持，降低中小企业转贷成本。</w:t>
      </w:r>
      <w:r>
        <w:rPr>
          <w:rFonts w:hint="eastAsia" w:ascii="楷体_GB2312" w:hAnsi="Times New Roman" w:eastAsia="楷体_GB2312"/>
          <w:sz w:val="32"/>
          <w:szCs w:val="32"/>
          <w:lang w:val="zh-TW" w:eastAsia="zh-TW"/>
        </w:rPr>
        <w:t>（责任单位：县金融办、</w:t>
      </w:r>
      <w:r>
        <w:rPr>
          <w:rFonts w:hint="eastAsia" w:ascii="楷体_GB2312" w:hAnsi="Times New Roman" w:eastAsia="楷体_GB2312"/>
          <w:sz w:val="32"/>
          <w:szCs w:val="32"/>
          <w:lang w:val="zh-TW"/>
        </w:rPr>
        <w:t>县</w:t>
      </w:r>
      <w:r>
        <w:rPr>
          <w:rFonts w:hint="eastAsia" w:ascii="楷体_GB2312" w:hAnsi="Times New Roman" w:eastAsia="楷体_GB2312"/>
          <w:sz w:val="32"/>
          <w:szCs w:val="32"/>
          <w:lang w:val="zh-TW" w:eastAsia="zh-TW"/>
        </w:rPr>
        <w:t>金灌集团）</w:t>
      </w:r>
    </w:p>
    <w:p w14:paraId="13F8FE6F">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三、支持重点产业创新集群发展</w:t>
      </w:r>
      <w:bookmarkStart w:id="13" w:name="bookmark24"/>
      <w:bookmarkEnd w:id="13"/>
    </w:p>
    <w:p w14:paraId="0BD1BA9F">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 xml:space="preserve">14. </w:t>
      </w:r>
      <w:r>
        <w:rPr>
          <w:rFonts w:hint="eastAsia" w:ascii="Times New Roman" w:hAnsi="Times New Roman"/>
          <w:sz w:val="32"/>
          <w:szCs w:val="32"/>
          <w:lang w:val="en-US" w:eastAsia="zh-CN"/>
        </w:rPr>
        <w:t>县级财政安排</w:t>
      </w:r>
      <w:r>
        <w:rPr>
          <w:rFonts w:ascii="Times New Roman" w:hAnsi="Times New Roman"/>
          <w:sz w:val="32"/>
          <w:szCs w:val="32"/>
          <w:lang w:val="en-US" w:eastAsia="zh-CN"/>
        </w:rPr>
        <w:t>2000</w:t>
      </w:r>
      <w:r>
        <w:rPr>
          <w:rFonts w:hint="eastAsia" w:ascii="Times New Roman" w:hAnsi="Times New Roman"/>
          <w:sz w:val="32"/>
          <w:szCs w:val="32"/>
          <w:lang w:val="en-US" w:eastAsia="zh-CN"/>
        </w:rPr>
        <w:t>万元转型升级奖补资金，从鼓励企业做大做强、支持企业改造升级、促进企业科技创新、引导业态模式创新、推动企业绿色发展、优化资源要素配置等</w:t>
      </w:r>
      <w:r>
        <w:rPr>
          <w:rFonts w:ascii="Times New Roman" w:hAnsi="Times New Roman"/>
          <w:sz w:val="32"/>
          <w:szCs w:val="32"/>
          <w:lang w:val="en-US" w:eastAsia="zh-CN"/>
        </w:rPr>
        <w:t>6</w:t>
      </w:r>
      <w:r>
        <w:rPr>
          <w:rFonts w:hint="eastAsia" w:ascii="Times New Roman" w:hAnsi="Times New Roman"/>
          <w:sz w:val="32"/>
          <w:szCs w:val="32"/>
          <w:lang w:val="en-US" w:eastAsia="zh-CN"/>
        </w:rPr>
        <w:t>个方面推动企业转型升级。支持工业企业开展免费诊断、高端化改造升级、智能制造及工业互联网标杆示范和融合应用创新等项目建设。全力争取省、市工业和信息产业转型升级专项资金，创建省、市级智能制造示范工厂。工业企业资源集约利用综合评价为</w:t>
      </w:r>
      <w:r>
        <w:rPr>
          <w:rFonts w:ascii="Times New Roman" w:hAnsi="Times New Roman"/>
          <w:sz w:val="32"/>
          <w:szCs w:val="32"/>
          <w:lang w:val="en-US" w:eastAsia="zh-CN"/>
        </w:rPr>
        <w:t>C类和D类企业不享受奖补。</w:t>
      </w:r>
      <w:r>
        <w:rPr>
          <w:rFonts w:hint="eastAsia" w:ascii="楷体_GB2312" w:hAnsi="Times New Roman" w:eastAsia="楷体_GB2312"/>
          <w:sz w:val="32"/>
          <w:szCs w:val="32"/>
          <w:lang w:eastAsia="zh-CN"/>
        </w:rPr>
        <w:t>（责任单位：县工信局、县税务局、县商务局、县发改委、县行政审批局、县自然资源局、县科技局、县市场监管局、县住建局、县财政局）</w:t>
      </w:r>
    </w:p>
    <w:p w14:paraId="72008446">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15</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对进入国家和省创新医疗器械特别审查程序的医疗器械产品，以及对进入上述程序、首次取得医疗器械注册证书（第三类）且在我县生产的医疗器械产品</w:t>
      </w:r>
      <w:r>
        <w:rPr>
          <w:rFonts w:hint="eastAsia" w:ascii="Times New Roman" w:hAnsi="Times New Roman"/>
          <w:sz w:val="32"/>
          <w:szCs w:val="32"/>
          <w:lang w:eastAsia="zh-CN"/>
        </w:rPr>
        <w:t>，</w:t>
      </w:r>
      <w:r>
        <w:rPr>
          <w:rFonts w:hint="eastAsia" w:ascii="Times New Roman" w:hAnsi="Times New Roman"/>
          <w:sz w:val="32"/>
          <w:szCs w:val="32"/>
        </w:rPr>
        <w:t>县级财政给予一定配套资金支持。</w:t>
      </w:r>
      <w:r>
        <w:rPr>
          <w:rFonts w:hint="eastAsia" w:ascii="楷体_GB2312" w:hAnsi="Times New Roman" w:eastAsia="楷体_GB2312"/>
          <w:sz w:val="32"/>
          <w:szCs w:val="32"/>
          <w:lang w:eastAsia="zh-CN"/>
        </w:rPr>
        <w:t>（责任单位：县科技局、县财政局）</w:t>
      </w:r>
      <w:bookmarkStart w:id="14" w:name="bookmark29"/>
      <w:bookmarkEnd w:id="14"/>
    </w:p>
    <w:p w14:paraId="7E3C3208">
      <w:pPr>
        <w:widowControl/>
        <w:overflowPunct w:val="0"/>
        <w:autoSpaceDN/>
        <w:spacing w:line="560" w:lineRule="exact"/>
        <w:ind w:firstLine="640" w:firstLineChars="200"/>
        <w:jc w:val="both"/>
        <w:rPr>
          <w:rFonts w:ascii="楷体_GB2312" w:hAnsi="Times New Roman" w:eastAsia="楷体_GB2312"/>
          <w:sz w:val="32"/>
          <w:szCs w:val="32"/>
          <w:lang w:val="zh-TW"/>
        </w:rPr>
      </w:pPr>
      <w:r>
        <w:rPr>
          <w:rFonts w:ascii="Times New Roman" w:hAnsi="Times New Roman" w:eastAsia="PMingLiU"/>
          <w:sz w:val="32"/>
          <w:szCs w:val="32"/>
          <w:lang w:val="zh-TW" w:eastAsia="zh-TW"/>
        </w:rPr>
        <w:t>16.</w:t>
      </w:r>
      <w:r>
        <w:rPr>
          <w:rFonts w:hint="eastAsia" w:ascii="Times New Roman" w:hAnsi="Times New Roman"/>
          <w:sz w:val="32"/>
          <w:szCs w:val="32"/>
          <w:lang w:val="zh-TW"/>
        </w:rPr>
        <w:t xml:space="preserve"> </w:t>
      </w:r>
      <w:r>
        <w:rPr>
          <w:rFonts w:hint="eastAsia" w:ascii="Times New Roman" w:hAnsi="Times New Roman"/>
          <w:sz w:val="32"/>
          <w:szCs w:val="32"/>
          <w:lang w:val="zh-TW" w:eastAsia="zh-TW"/>
        </w:rPr>
        <w:t>对国家卫生健康部门制定的诊疗方案和国务院联防联控机制综合组公布的治疗指南中涉及的药品（医用耗材）实施绿色挂网通道，随报随挂，第一时间供医疗机构采购使用。</w:t>
      </w:r>
      <w:r>
        <w:rPr>
          <w:rFonts w:hint="eastAsia" w:ascii="楷体_GB2312" w:hAnsi="Times New Roman" w:eastAsia="楷体_GB2312"/>
          <w:sz w:val="32"/>
          <w:szCs w:val="32"/>
          <w:lang w:val="zh-TW" w:eastAsia="zh-TW"/>
        </w:rPr>
        <w:t>（责任单位：</w:t>
      </w:r>
      <w:r>
        <w:rPr>
          <w:rFonts w:hint="eastAsia" w:ascii="楷体_GB2312" w:hAnsi="Times New Roman" w:eastAsia="楷体_GB2312"/>
          <w:sz w:val="32"/>
          <w:szCs w:val="32"/>
          <w:lang w:val="zh-TW"/>
        </w:rPr>
        <w:t>县</w:t>
      </w:r>
      <w:r>
        <w:rPr>
          <w:rFonts w:hint="eastAsia" w:ascii="楷体_GB2312" w:hAnsi="Times New Roman" w:eastAsia="楷体_GB2312"/>
          <w:sz w:val="32"/>
          <w:szCs w:val="32"/>
          <w:lang w:val="zh-TW" w:eastAsia="zh-TW"/>
        </w:rPr>
        <w:t>医保局、</w:t>
      </w:r>
      <w:r>
        <w:rPr>
          <w:rFonts w:hint="eastAsia" w:ascii="楷体_GB2312" w:hAnsi="Times New Roman" w:eastAsia="楷体_GB2312"/>
          <w:sz w:val="32"/>
          <w:szCs w:val="32"/>
          <w:lang w:val="zh-TW"/>
        </w:rPr>
        <w:t>县</w:t>
      </w:r>
      <w:r>
        <w:rPr>
          <w:rFonts w:hint="eastAsia" w:ascii="楷体_GB2312" w:hAnsi="Times New Roman" w:eastAsia="楷体_GB2312"/>
          <w:sz w:val="32"/>
          <w:szCs w:val="32"/>
          <w:lang w:val="zh-TW" w:eastAsia="zh-TW"/>
        </w:rPr>
        <w:t>卫健委）</w:t>
      </w:r>
    </w:p>
    <w:p w14:paraId="6F96C763">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四、加大援企稳岗力度</w:t>
      </w:r>
      <w:bookmarkStart w:id="15" w:name="bookmark32"/>
      <w:bookmarkEnd w:id="15"/>
    </w:p>
    <w:p w14:paraId="093389D8">
      <w:pPr>
        <w:overflowPunct w:val="0"/>
        <w:autoSpaceDN/>
        <w:spacing w:line="560" w:lineRule="exact"/>
        <w:ind w:firstLine="640" w:firstLineChars="200"/>
        <w:jc w:val="both"/>
        <w:rPr>
          <w:rFonts w:ascii="楷体_GB2312" w:hAnsi="Times New Roman" w:eastAsia="楷体_GB2312"/>
          <w:sz w:val="32"/>
          <w:szCs w:val="32"/>
          <w:lang w:val="zh-TW" w:eastAsia="zh-TW"/>
        </w:rPr>
      </w:pPr>
      <w:r>
        <w:rPr>
          <w:rFonts w:ascii="Times New Roman" w:hAnsi="Times New Roman" w:eastAsia="PMingLiU"/>
          <w:sz w:val="32"/>
          <w:szCs w:val="32"/>
          <w:lang w:val="zh-TW" w:eastAsia="zh-TW"/>
        </w:rPr>
        <w:t>17</w:t>
      </w:r>
      <w:r>
        <w:rPr>
          <w:rFonts w:ascii="Times New Roman" w:hAnsi="Times New Roman"/>
          <w:sz w:val="32"/>
          <w:szCs w:val="32"/>
          <w:lang w:val="zh-TW" w:eastAsia="zh-TW"/>
        </w:rPr>
        <w:t>.</w:t>
      </w:r>
      <w:r>
        <w:rPr>
          <w:rFonts w:ascii="Times New Roman" w:hAnsi="Times New Roman"/>
          <w:sz w:val="32"/>
          <w:szCs w:val="32"/>
          <w:lang w:val="en-US"/>
        </w:rPr>
        <w:t xml:space="preserve"> </w:t>
      </w:r>
      <w:r>
        <w:rPr>
          <w:rFonts w:hint="eastAsia" w:ascii="Times New Roman" w:hAnsi="Times New Roman"/>
          <w:sz w:val="32"/>
          <w:szCs w:val="32"/>
          <w:lang w:val="zh-TW" w:eastAsia="zh-TW"/>
        </w:rPr>
        <w:t>继续推行“免申即享”模式，及时落实社保降费、稳岗返还等政策。鼓励对免费提供职业介绍，成功推荐符合条件的失业人员、就业困难人员、外省劳动力等实现稳定就业的人力资源服务机构发放就业服务补助。巩固现有城乡公益性岗位规模，持续加大岗位开发力度，兜底安置就业困难人员就业，新开发城乡公益性岗位</w:t>
      </w:r>
      <w:r>
        <w:rPr>
          <w:rFonts w:ascii="Times New Roman" w:hAnsi="Times New Roman"/>
          <w:sz w:val="32"/>
          <w:szCs w:val="32"/>
          <w:lang w:val="zh-TW" w:eastAsia="zh-TW"/>
        </w:rPr>
        <w:t>300</w:t>
      </w:r>
      <w:r>
        <w:rPr>
          <w:rFonts w:hint="eastAsia" w:ascii="Times New Roman" w:hAnsi="Times New Roman"/>
          <w:sz w:val="32"/>
          <w:szCs w:val="32"/>
          <w:lang w:val="zh-TW" w:eastAsia="zh-TW"/>
        </w:rPr>
        <w:t>个以上、青年就业见习岗位</w:t>
      </w:r>
      <w:r>
        <w:rPr>
          <w:rFonts w:ascii="Times New Roman" w:hAnsi="Times New Roman"/>
          <w:sz w:val="32"/>
          <w:szCs w:val="32"/>
          <w:lang w:val="zh-TW" w:eastAsia="zh-TW"/>
        </w:rPr>
        <w:t>1000</w:t>
      </w:r>
      <w:r>
        <w:rPr>
          <w:rFonts w:hint="eastAsia" w:ascii="Times New Roman" w:hAnsi="Times New Roman"/>
          <w:sz w:val="32"/>
          <w:szCs w:val="32"/>
          <w:lang w:val="zh-TW" w:eastAsia="zh-TW"/>
        </w:rPr>
        <w:t>个以上。</w:t>
      </w:r>
      <w:r>
        <w:rPr>
          <w:rFonts w:hint="eastAsia" w:ascii="楷体_GB2312" w:hAnsi="Times New Roman" w:eastAsia="楷体_GB2312"/>
          <w:sz w:val="32"/>
          <w:szCs w:val="32"/>
          <w:lang w:val="zh-TW" w:eastAsia="zh-TW"/>
        </w:rPr>
        <w:t>（责任单位：县人社局、县财政局）</w:t>
      </w:r>
    </w:p>
    <w:p w14:paraId="37A298F4">
      <w:pPr>
        <w:pStyle w:val="25"/>
        <w:overflowPunct w:val="0"/>
        <w:autoSpaceDN/>
        <w:snapToGrid w:val="0"/>
        <w:spacing w:line="560" w:lineRule="exact"/>
        <w:ind w:firstLine="640" w:firstLineChars="200"/>
        <w:jc w:val="both"/>
        <w:rPr>
          <w:rFonts w:ascii="楷体_GB2312" w:hAnsi="Times New Roman" w:eastAsia="楷体_GB2312"/>
          <w:sz w:val="32"/>
          <w:szCs w:val="32"/>
          <w:lang w:eastAsia="zh-CN"/>
        </w:rPr>
      </w:pPr>
      <w:r>
        <w:rPr>
          <w:rFonts w:ascii="Times New Roman" w:hAnsi="Times New Roman"/>
          <w:sz w:val="32"/>
          <w:szCs w:val="32"/>
          <w:lang w:val="en-US" w:eastAsia="zh-CN"/>
        </w:rPr>
        <w:t>18</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rPr>
        <w:t>对灵活就业人员参加职工基本医疗保险的，缴费比例在职工基本医疗保险用人单位缴费率（不含生育保险缴费率）和个人缴费率之和基础上，降低</w:t>
      </w:r>
      <w:r>
        <w:rPr>
          <w:rFonts w:ascii="Times New Roman" w:hAnsi="Times New Roman"/>
          <w:sz w:val="32"/>
          <w:szCs w:val="32"/>
        </w:rPr>
        <w:t>1</w:t>
      </w:r>
      <w:r>
        <w:rPr>
          <w:rFonts w:hint="eastAsia" w:ascii="Times New Roman" w:hAnsi="Times New Roman"/>
          <w:sz w:val="32"/>
          <w:szCs w:val="32"/>
        </w:rPr>
        <w:t>个百分点。根据待遇清单规定，按照收支平衡的原则</w:t>
      </w:r>
      <w:r>
        <w:rPr>
          <w:rFonts w:hint="eastAsia" w:ascii="Times New Roman" w:hAnsi="Times New Roman"/>
          <w:sz w:val="32"/>
          <w:szCs w:val="32"/>
          <w:lang w:eastAsia="zh-CN"/>
        </w:rPr>
        <w:t>，</w:t>
      </w:r>
      <w:r>
        <w:rPr>
          <w:rFonts w:hint="eastAsia" w:ascii="Times New Roman" w:hAnsi="Times New Roman"/>
          <w:sz w:val="32"/>
          <w:szCs w:val="32"/>
        </w:rPr>
        <w:t>经批准后可阶段性适当降低职工医保单位缴费费率。</w:t>
      </w:r>
      <w:r>
        <w:rPr>
          <w:rFonts w:hint="eastAsia" w:ascii="楷体_GB2312" w:hAnsi="Times New Roman" w:eastAsia="楷体_GB2312"/>
          <w:sz w:val="32"/>
          <w:szCs w:val="32"/>
          <w:lang w:eastAsia="zh-CN"/>
        </w:rPr>
        <w:t>（责任单位：县医保局、县财政局、县税务局）</w:t>
      </w:r>
    </w:p>
    <w:p w14:paraId="24CE764A">
      <w:pPr>
        <w:pStyle w:val="25"/>
        <w:tabs>
          <w:tab w:val="left" w:pos="1177"/>
        </w:tabs>
        <w:overflowPunct w:val="0"/>
        <w:autoSpaceDN/>
        <w:snapToGrid w:val="0"/>
        <w:spacing w:line="560" w:lineRule="exact"/>
        <w:ind w:firstLine="640" w:firstLineChars="200"/>
        <w:jc w:val="both"/>
        <w:rPr>
          <w:rFonts w:ascii="楷体_GB2312" w:hAnsi="Times New Roman" w:eastAsia="楷体_GB2312"/>
          <w:sz w:val="32"/>
          <w:szCs w:val="32"/>
        </w:rPr>
      </w:pPr>
      <w:r>
        <w:rPr>
          <w:rFonts w:hint="eastAsia" w:ascii="Times New Roman" w:hAnsi="Times New Roman" w:eastAsia="宋体"/>
          <w:sz w:val="32"/>
          <w:szCs w:val="32"/>
          <w:lang w:val="en-US" w:eastAsia="zh-CN"/>
        </w:rPr>
        <w:t>19</w:t>
      </w:r>
      <w:r>
        <w:rPr>
          <w:rFonts w:ascii="Times New Roman" w:hAnsi="Times New Roman"/>
          <w:sz w:val="32"/>
          <w:szCs w:val="32"/>
        </w:rPr>
        <w:t>.</w:t>
      </w:r>
      <w:r>
        <w:rPr>
          <w:rFonts w:hint="eastAsia"/>
        </w:rPr>
        <w:t xml:space="preserve"> </w:t>
      </w:r>
      <w:r>
        <w:rPr>
          <w:rFonts w:hint="eastAsia"/>
          <w:lang w:eastAsia="zh-CN"/>
        </w:rPr>
        <w:t>制定《</w:t>
      </w:r>
      <w:r>
        <w:rPr>
          <w:rFonts w:hint="eastAsia" w:ascii="Times New Roman" w:hAnsi="Times New Roman"/>
          <w:sz w:val="32"/>
          <w:szCs w:val="32"/>
        </w:rPr>
        <w:t>灌南县促进企业上规上限奖励办法</w:t>
      </w:r>
      <w:r>
        <w:rPr>
          <w:rFonts w:hint="eastAsia" w:ascii="Times New Roman" w:hAnsi="Times New Roman"/>
          <w:sz w:val="32"/>
          <w:szCs w:val="32"/>
          <w:lang w:eastAsia="zh-CN"/>
        </w:rPr>
        <w:t>》，调动企业上规上限积极性，加快培育一批业态先进、附加值高、带动突出、竞争力强的“四上”企业，为稳增长提供有力支撑。</w:t>
      </w:r>
      <w:r>
        <w:rPr>
          <w:rFonts w:hint="eastAsia" w:ascii="楷体_GB2312" w:hAnsi="Times New Roman" w:eastAsia="楷体_GB2312"/>
          <w:sz w:val="32"/>
          <w:szCs w:val="32"/>
          <w:lang w:eastAsia="zh-CN"/>
        </w:rPr>
        <w:t>（责任单位：县发改委、县财政局、县工信局、县商务局、县市场监管局、县住建局）</w:t>
      </w:r>
    </w:p>
    <w:p w14:paraId="6AC7924B">
      <w:pPr>
        <w:overflowPunct w:val="0"/>
        <w:autoSpaceDN/>
        <w:spacing w:line="560" w:lineRule="exact"/>
        <w:ind w:firstLine="640" w:firstLineChars="200"/>
        <w:jc w:val="both"/>
        <w:rPr>
          <w:rFonts w:ascii="楷体_GB2312" w:hAnsi="Times New Roman" w:eastAsia="楷体_GB2312"/>
          <w:sz w:val="32"/>
          <w:szCs w:val="32"/>
          <w:lang w:val="zh-TW" w:eastAsia="zh-TW"/>
        </w:rPr>
      </w:pPr>
      <w:r>
        <w:rPr>
          <w:rFonts w:hint="eastAsia" w:ascii="Times New Roman" w:hAnsi="Times New Roman" w:eastAsia="宋体"/>
          <w:sz w:val="32"/>
          <w:szCs w:val="32"/>
          <w:lang w:val="en-US" w:eastAsia="zh-CN"/>
        </w:rPr>
        <w:t>20</w:t>
      </w:r>
      <w:r>
        <w:rPr>
          <w:rFonts w:ascii="Times New Roman" w:hAnsi="Times New Roman"/>
          <w:sz w:val="32"/>
          <w:szCs w:val="32"/>
          <w:lang w:val="zh-TW" w:eastAsia="zh-TW"/>
        </w:rPr>
        <w:t xml:space="preserve">. </w:t>
      </w:r>
      <w:r>
        <w:rPr>
          <w:rFonts w:hint="eastAsia" w:ascii="Times New Roman" w:hAnsi="Times New Roman"/>
          <w:sz w:val="32"/>
          <w:szCs w:val="32"/>
          <w:lang w:val="zh-TW" w:eastAsia="zh-TW"/>
        </w:rPr>
        <w:t>对</w:t>
      </w:r>
      <w:r>
        <w:rPr>
          <w:rFonts w:ascii="Times New Roman" w:hAnsi="Times New Roman"/>
          <w:sz w:val="32"/>
          <w:szCs w:val="32"/>
          <w:lang w:val="zh-TW" w:eastAsia="zh-TW"/>
        </w:rPr>
        <w:t>2023</w:t>
      </w:r>
      <w:r>
        <w:rPr>
          <w:rFonts w:hint="eastAsia" w:ascii="Times New Roman" w:hAnsi="Times New Roman"/>
          <w:sz w:val="32"/>
          <w:szCs w:val="32"/>
          <w:lang w:val="zh-TW" w:eastAsia="zh-TW"/>
        </w:rPr>
        <w:t>年</w:t>
      </w:r>
      <w:r>
        <w:rPr>
          <w:rFonts w:ascii="Times New Roman" w:hAnsi="Times New Roman"/>
          <w:sz w:val="32"/>
          <w:szCs w:val="32"/>
          <w:lang w:val="zh-TW" w:eastAsia="zh-TW"/>
        </w:rPr>
        <w:t>1</w:t>
      </w:r>
      <w:r>
        <w:rPr>
          <w:rFonts w:hint="eastAsia" w:ascii="Times New Roman" w:hAnsi="Times New Roman"/>
          <w:sz w:val="32"/>
          <w:szCs w:val="32"/>
          <w:lang w:val="zh-TW" w:eastAsia="zh-TW"/>
        </w:rPr>
        <w:t>月</w:t>
      </w:r>
      <w:r>
        <w:rPr>
          <w:rFonts w:ascii="Times New Roman" w:hAnsi="Times New Roman"/>
          <w:sz w:val="32"/>
          <w:szCs w:val="32"/>
          <w:lang w:val="zh-TW" w:eastAsia="zh-TW"/>
        </w:rPr>
        <w:t>28</w:t>
      </w:r>
      <w:r>
        <w:rPr>
          <w:rFonts w:hint="eastAsia" w:ascii="Times New Roman" w:hAnsi="Times New Roman"/>
          <w:sz w:val="32"/>
          <w:szCs w:val="32"/>
          <w:lang w:val="zh-TW" w:eastAsia="zh-TW"/>
        </w:rPr>
        <w:t>日</w:t>
      </w:r>
      <w:r>
        <w:rPr>
          <w:rFonts w:hint="eastAsia" w:hAnsi="Times New Roman"/>
          <w:sz w:val="32"/>
          <w:szCs w:val="32"/>
          <w:lang w:val="zh-TW" w:eastAsia="zh-TW"/>
        </w:rPr>
        <w:t>—</w:t>
      </w:r>
      <w:r>
        <w:rPr>
          <w:rFonts w:ascii="Times New Roman" w:hAnsi="Times New Roman"/>
          <w:sz w:val="32"/>
          <w:szCs w:val="32"/>
          <w:lang w:val="zh-TW" w:eastAsia="zh-TW"/>
        </w:rPr>
        <w:t>2</w:t>
      </w:r>
      <w:r>
        <w:rPr>
          <w:rFonts w:hint="eastAsia" w:ascii="Times New Roman" w:hAnsi="Times New Roman"/>
          <w:sz w:val="32"/>
          <w:szCs w:val="32"/>
          <w:lang w:val="zh-TW" w:eastAsia="zh-TW"/>
        </w:rPr>
        <w:t>月</w:t>
      </w:r>
      <w:r>
        <w:rPr>
          <w:rFonts w:ascii="Times New Roman" w:hAnsi="Times New Roman"/>
          <w:sz w:val="32"/>
          <w:szCs w:val="32"/>
          <w:lang w:val="zh-TW" w:eastAsia="zh-TW"/>
        </w:rPr>
        <w:t>5</w:t>
      </w:r>
      <w:r>
        <w:rPr>
          <w:rFonts w:hint="eastAsia" w:ascii="Times New Roman" w:hAnsi="Times New Roman"/>
          <w:sz w:val="32"/>
          <w:szCs w:val="32"/>
          <w:lang w:val="zh-TW" w:eastAsia="zh-TW"/>
        </w:rPr>
        <w:t>日，企业租用大巴车跨省“点对点”组织外来务工人员返岗的</w:t>
      </w:r>
      <w:r>
        <w:rPr>
          <w:rFonts w:hint="eastAsia" w:ascii="Times New Roman" w:hAnsi="Times New Roman"/>
          <w:sz w:val="32"/>
          <w:szCs w:val="32"/>
          <w:lang w:val="zh-TW"/>
        </w:rPr>
        <w:t>，</w:t>
      </w:r>
      <w:r>
        <w:rPr>
          <w:rFonts w:hint="eastAsia" w:ascii="Times New Roman" w:hAnsi="Times New Roman"/>
          <w:sz w:val="32"/>
          <w:szCs w:val="32"/>
          <w:lang w:val="zh-TW" w:eastAsia="zh-TW"/>
        </w:rPr>
        <w:t>按照实际发生交通费用的</w:t>
      </w:r>
      <w:r>
        <w:rPr>
          <w:rFonts w:ascii="Times New Roman" w:hAnsi="Times New Roman"/>
          <w:sz w:val="32"/>
          <w:szCs w:val="32"/>
          <w:lang w:val="zh-TW" w:eastAsia="zh-TW"/>
        </w:rPr>
        <w:t>60%</w:t>
      </w:r>
      <w:r>
        <w:rPr>
          <w:rFonts w:hint="eastAsia" w:ascii="Times New Roman" w:hAnsi="Times New Roman"/>
          <w:sz w:val="32"/>
          <w:szCs w:val="32"/>
          <w:lang w:val="zh-TW" w:eastAsia="zh-TW"/>
        </w:rPr>
        <w:t>给予补贴，每家企业补贴金额不超过</w:t>
      </w:r>
      <w:r>
        <w:rPr>
          <w:rFonts w:ascii="Times New Roman" w:hAnsi="Times New Roman"/>
          <w:sz w:val="32"/>
          <w:szCs w:val="32"/>
          <w:lang w:val="zh-TW" w:eastAsia="zh-TW"/>
        </w:rPr>
        <w:t>5</w:t>
      </w:r>
      <w:r>
        <w:rPr>
          <w:rFonts w:hint="eastAsia" w:ascii="Times New Roman" w:hAnsi="Times New Roman"/>
          <w:sz w:val="32"/>
          <w:szCs w:val="32"/>
          <w:lang w:val="zh-TW" w:eastAsia="zh-TW"/>
        </w:rPr>
        <w:t>万元。对</w:t>
      </w:r>
      <w:r>
        <w:rPr>
          <w:rFonts w:ascii="Times New Roman" w:hAnsi="Times New Roman"/>
          <w:sz w:val="32"/>
          <w:szCs w:val="32"/>
          <w:lang w:val="zh-TW" w:eastAsia="zh-TW"/>
        </w:rPr>
        <w:t>2023</w:t>
      </w:r>
      <w:r>
        <w:rPr>
          <w:rFonts w:hint="eastAsia" w:ascii="Times New Roman" w:hAnsi="Times New Roman"/>
          <w:sz w:val="32"/>
          <w:szCs w:val="32"/>
          <w:lang w:val="zh-TW" w:eastAsia="zh-TW"/>
        </w:rPr>
        <w:t>年</w:t>
      </w:r>
      <w:r>
        <w:rPr>
          <w:rFonts w:ascii="Times New Roman" w:hAnsi="Times New Roman"/>
          <w:sz w:val="32"/>
          <w:szCs w:val="32"/>
          <w:lang w:val="zh-TW" w:eastAsia="zh-TW"/>
        </w:rPr>
        <w:t>1</w:t>
      </w:r>
      <w:r>
        <w:rPr>
          <w:rFonts w:hint="eastAsia" w:hAnsi="Times New Roman"/>
          <w:sz w:val="32"/>
          <w:szCs w:val="32"/>
          <w:lang w:val="zh-TW" w:eastAsia="zh-TW"/>
        </w:rPr>
        <w:t>—</w:t>
      </w:r>
      <w:r>
        <w:rPr>
          <w:rFonts w:ascii="Times New Roman" w:hAnsi="Times New Roman"/>
          <w:sz w:val="32"/>
          <w:szCs w:val="32"/>
          <w:lang w:val="zh-TW" w:eastAsia="zh-TW"/>
        </w:rPr>
        <w:t>2</w:t>
      </w:r>
      <w:r>
        <w:rPr>
          <w:rFonts w:hint="eastAsia" w:ascii="Times New Roman" w:hAnsi="Times New Roman"/>
          <w:sz w:val="32"/>
          <w:szCs w:val="32"/>
          <w:lang w:val="zh-TW" w:eastAsia="zh-TW"/>
        </w:rPr>
        <w:t>月首次自行来灌就业，与企业签订劳动合同并缴纳社保的，按照每人</w:t>
      </w:r>
      <w:r>
        <w:rPr>
          <w:rFonts w:ascii="Times New Roman" w:hAnsi="Times New Roman"/>
          <w:sz w:val="32"/>
          <w:szCs w:val="32"/>
          <w:lang w:val="zh-TW" w:eastAsia="zh-TW"/>
        </w:rPr>
        <w:t>500</w:t>
      </w:r>
      <w:r>
        <w:rPr>
          <w:rFonts w:hint="eastAsia" w:ascii="Times New Roman" w:hAnsi="Times New Roman"/>
          <w:sz w:val="32"/>
          <w:szCs w:val="32"/>
          <w:lang w:val="zh-TW" w:eastAsia="zh-TW"/>
        </w:rPr>
        <w:t>元标准给予交通补助。</w:t>
      </w:r>
      <w:r>
        <w:rPr>
          <w:rFonts w:hint="eastAsia" w:ascii="楷体_GB2312" w:hAnsi="Times New Roman" w:eastAsia="楷体_GB2312"/>
          <w:sz w:val="32"/>
          <w:szCs w:val="32"/>
          <w:lang w:val="zh-TW" w:eastAsia="zh-TW"/>
        </w:rPr>
        <w:t>（责任单位：县人社局、县财政局）</w:t>
      </w:r>
    </w:p>
    <w:p w14:paraId="611AD8D1">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五、帮助企业减轻负担</w:t>
      </w:r>
    </w:p>
    <w:p w14:paraId="2E6AE293">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21</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强化水电气生产要素保障，对暂时缴费确有困难的小微企业和个体工商户经申请审核通过后，欠费不停水、不停电、不停气</w:t>
      </w:r>
      <w:r>
        <w:rPr>
          <w:rFonts w:hint="eastAsia" w:ascii="Times New Roman" w:hAnsi="Times New Roman"/>
          <w:sz w:val="32"/>
          <w:szCs w:val="32"/>
          <w:lang w:eastAsia="zh-CN"/>
        </w:rPr>
        <w:t>，</w:t>
      </w:r>
      <w:r>
        <w:rPr>
          <w:rFonts w:hint="eastAsia" w:ascii="Times New Roman" w:hAnsi="Times New Roman"/>
          <w:sz w:val="32"/>
          <w:szCs w:val="32"/>
        </w:rPr>
        <w:t>减免在此期间产生的欠费违约金。</w:t>
      </w:r>
      <w:r>
        <w:rPr>
          <w:rFonts w:hint="eastAsia" w:ascii="楷体_GB2312" w:hAnsi="Times New Roman" w:eastAsia="楷体_GB2312"/>
          <w:sz w:val="32"/>
          <w:szCs w:val="32"/>
          <w:lang w:eastAsia="zh-CN"/>
        </w:rPr>
        <w:t>（责任单位：县住建局、县发改委、县供电公司）</w:t>
      </w:r>
    </w:p>
    <w:p w14:paraId="397D21AB">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22</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为</w:t>
      </w:r>
      <w:r>
        <w:rPr>
          <w:rFonts w:ascii="Times New Roman" w:hAnsi="Times New Roman"/>
          <w:sz w:val="32"/>
          <w:szCs w:val="32"/>
        </w:rPr>
        <w:t>10</w:t>
      </w:r>
      <w:r>
        <w:rPr>
          <w:rFonts w:hint="eastAsia" w:ascii="Times New Roman" w:hAnsi="Times New Roman"/>
          <w:sz w:val="32"/>
          <w:szCs w:val="32"/>
        </w:rPr>
        <w:t>千伏及以下中小微企业全面建设外部电力接入工程，无需用户投资。全县用户报装容量</w:t>
      </w:r>
      <w:r>
        <w:rPr>
          <w:rFonts w:ascii="Times New Roman" w:hAnsi="Times New Roman"/>
          <w:sz w:val="32"/>
          <w:szCs w:val="32"/>
        </w:rPr>
        <w:t>200</w:t>
      </w:r>
      <w:r>
        <w:rPr>
          <w:rFonts w:hint="eastAsia" w:ascii="Times New Roman" w:hAnsi="Times New Roman"/>
          <w:sz w:val="32"/>
          <w:szCs w:val="32"/>
        </w:rPr>
        <w:t>千瓦及以下可采用低压接入，提供用电绿色通道服务。</w:t>
      </w:r>
      <w:r>
        <w:rPr>
          <w:rFonts w:hint="eastAsia" w:ascii="楷体_GB2312" w:hAnsi="Times New Roman" w:eastAsia="楷体_GB2312"/>
          <w:sz w:val="32"/>
          <w:szCs w:val="32"/>
          <w:lang w:eastAsia="zh-CN"/>
        </w:rPr>
        <w:t>（责任单位：县供电公司）</w:t>
      </w:r>
    </w:p>
    <w:p w14:paraId="438A74B6">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23</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阶段性缓缴工程质量保证金</w:t>
      </w:r>
      <w:r>
        <w:rPr>
          <w:rFonts w:hint="eastAsia" w:ascii="Times New Roman" w:hAnsi="Times New Roman"/>
          <w:sz w:val="32"/>
          <w:szCs w:val="32"/>
          <w:lang w:eastAsia="zh-CN"/>
        </w:rPr>
        <w:t>。</w:t>
      </w:r>
      <w:r>
        <w:rPr>
          <w:rFonts w:hint="eastAsia" w:ascii="Times New Roman" w:hAnsi="Times New Roman"/>
          <w:sz w:val="32"/>
          <w:szCs w:val="32"/>
        </w:rPr>
        <w:t>房屋建筑、市政、交通、水利等在建项目在</w:t>
      </w:r>
      <w:r>
        <w:rPr>
          <w:rFonts w:ascii="Times New Roman" w:hAnsi="Times New Roman"/>
          <w:sz w:val="32"/>
          <w:szCs w:val="32"/>
        </w:rPr>
        <w:t>2023</w:t>
      </w:r>
      <w:r>
        <w:rPr>
          <w:rFonts w:hint="eastAsia" w:ascii="Times New Roman" w:hAnsi="Times New Roman"/>
          <w:sz w:val="32"/>
          <w:szCs w:val="32"/>
        </w:rPr>
        <w:t>年</w:t>
      </w:r>
      <w:r>
        <w:rPr>
          <w:rFonts w:ascii="Times New Roman" w:hAnsi="Times New Roman"/>
          <w:sz w:val="32"/>
          <w:szCs w:val="32"/>
        </w:rPr>
        <w:t>1</w:t>
      </w:r>
      <w:r>
        <w:rPr>
          <w:rFonts w:hint="eastAsia" w:ascii="Times New Roman" w:hAnsi="Times New Roman"/>
          <w:sz w:val="32"/>
          <w:szCs w:val="32"/>
        </w:rPr>
        <w:t>月</w:t>
      </w:r>
      <w:r>
        <w:rPr>
          <w:rFonts w:ascii="Times New Roman" w:hAnsi="Times New Roman"/>
          <w:sz w:val="32"/>
          <w:szCs w:val="32"/>
        </w:rPr>
        <w:t>1</w:t>
      </w:r>
      <w:r>
        <w:rPr>
          <w:rFonts w:hint="eastAsia" w:ascii="Times New Roman" w:hAnsi="Times New Roman"/>
          <w:sz w:val="32"/>
          <w:szCs w:val="32"/>
        </w:rPr>
        <w:t>日至</w:t>
      </w:r>
      <w:r>
        <w:rPr>
          <w:rFonts w:ascii="Times New Roman" w:hAnsi="Times New Roman"/>
          <w:sz w:val="32"/>
          <w:szCs w:val="32"/>
        </w:rPr>
        <w:t>6</w:t>
      </w:r>
      <w:r>
        <w:rPr>
          <w:rFonts w:hint="eastAsia" w:ascii="Times New Roman" w:hAnsi="Times New Roman"/>
          <w:sz w:val="32"/>
          <w:szCs w:val="32"/>
        </w:rPr>
        <w:t>月</w:t>
      </w:r>
      <w:r>
        <w:rPr>
          <w:rFonts w:ascii="Times New Roman" w:hAnsi="Times New Roman"/>
          <w:sz w:val="32"/>
          <w:szCs w:val="32"/>
        </w:rPr>
        <w:t>30</w:t>
      </w:r>
      <w:r>
        <w:rPr>
          <w:rFonts w:hint="eastAsia" w:ascii="Times New Roman" w:hAnsi="Times New Roman"/>
          <w:sz w:val="32"/>
          <w:szCs w:val="32"/>
        </w:rPr>
        <w:t>日期间应缴纳的各类工程质量保证金，自应缴之日起可缓缴一个季度，建设单位不得以扣留工程款等方式收取工程质量保证金。对于缓缴的工程质量保证金，施工单位应在缓缴期满后及时补缴。补缴时可采用金融机构、担保机构保函（保险）的方式缴纳，任何单位不得限制或拒绝。</w:t>
      </w:r>
      <w:r>
        <w:rPr>
          <w:rFonts w:hint="eastAsia" w:ascii="楷体_GB2312" w:hAnsi="Times New Roman" w:eastAsia="楷体_GB2312"/>
          <w:sz w:val="32"/>
          <w:szCs w:val="32"/>
          <w:lang w:eastAsia="zh-CN"/>
        </w:rPr>
        <w:t>（责任单位：县住建局、县交通局、县水利局、人行灌南县支行）</w:t>
      </w:r>
    </w:p>
    <w:p w14:paraId="2F873DF5">
      <w:pPr>
        <w:overflowPunct w:val="0"/>
        <w:autoSpaceDN/>
        <w:spacing w:line="560" w:lineRule="exact"/>
        <w:ind w:firstLine="640" w:firstLineChars="200"/>
        <w:jc w:val="both"/>
        <w:rPr>
          <w:rFonts w:ascii="Times New Roman" w:hAnsi="Times New Roman"/>
          <w:b/>
          <w:sz w:val="32"/>
          <w:szCs w:val="32"/>
          <w:lang w:val="zh-TW" w:eastAsia="zh-TW"/>
        </w:rPr>
      </w:pPr>
      <w:r>
        <w:rPr>
          <w:rFonts w:hint="eastAsia" w:ascii="Times New Roman" w:hAnsi="Times New Roman" w:eastAsia="宋体"/>
          <w:sz w:val="32"/>
          <w:szCs w:val="32"/>
          <w:lang w:val="en-US" w:eastAsia="zh-CN"/>
        </w:rPr>
        <w:t>24</w:t>
      </w:r>
      <w:r>
        <w:rPr>
          <w:rFonts w:ascii="Times New Roman" w:hAnsi="Times New Roman"/>
          <w:sz w:val="32"/>
          <w:szCs w:val="32"/>
          <w:lang w:val="zh-TW" w:eastAsia="zh-TW"/>
        </w:rPr>
        <w:t>.</w:t>
      </w:r>
      <w:r>
        <w:rPr>
          <w:rFonts w:ascii="Times New Roman" w:hAnsi="Times New Roman"/>
          <w:sz w:val="32"/>
          <w:szCs w:val="32"/>
          <w:lang w:val="en-US"/>
        </w:rPr>
        <w:t xml:space="preserve"> </w:t>
      </w:r>
      <w:r>
        <w:rPr>
          <w:rFonts w:hint="eastAsia" w:ascii="Times New Roman" w:hAnsi="Times New Roman"/>
          <w:sz w:val="32"/>
          <w:szCs w:val="32"/>
          <w:lang w:val="zh-TW" w:eastAsia="zh-TW"/>
        </w:rPr>
        <w:t>县市场监管</w:t>
      </w:r>
      <w:r>
        <w:rPr>
          <w:rFonts w:hint="eastAsia" w:ascii="Times New Roman" w:hAnsi="Times New Roman"/>
          <w:sz w:val="32"/>
          <w:szCs w:val="32"/>
          <w:lang w:val="zh-TW"/>
        </w:rPr>
        <w:t>局</w:t>
      </w:r>
      <w:r>
        <w:rPr>
          <w:rFonts w:hint="eastAsia" w:ascii="Times New Roman" w:hAnsi="Times New Roman"/>
          <w:sz w:val="32"/>
          <w:szCs w:val="32"/>
          <w:lang w:val="zh-TW" w:eastAsia="zh-TW"/>
        </w:rPr>
        <w:t>直属检验检测机构对县内小微企业和个体工商户委托的产品质量检验费用减半收取</w:t>
      </w:r>
      <w:r>
        <w:rPr>
          <w:rFonts w:hint="eastAsia" w:ascii="Times New Roman" w:hAnsi="Times New Roman"/>
          <w:sz w:val="32"/>
          <w:szCs w:val="32"/>
          <w:lang w:val="zh-TW"/>
        </w:rPr>
        <w:t>，</w:t>
      </w:r>
      <w:r>
        <w:rPr>
          <w:rFonts w:hint="eastAsia" w:ascii="Times New Roman" w:hAnsi="Times New Roman"/>
          <w:sz w:val="32"/>
          <w:szCs w:val="32"/>
          <w:lang w:val="zh-TW" w:eastAsia="zh-TW"/>
        </w:rPr>
        <w:t>对小微企业委托的计量检测费用减半收取</w:t>
      </w:r>
      <w:r>
        <w:rPr>
          <w:rFonts w:hint="eastAsia" w:ascii="Times New Roman" w:hAnsi="Times New Roman"/>
          <w:sz w:val="32"/>
          <w:szCs w:val="32"/>
          <w:lang w:val="zh-TW"/>
        </w:rPr>
        <w:t>，</w:t>
      </w:r>
      <w:r>
        <w:rPr>
          <w:rFonts w:hint="eastAsia" w:ascii="Times New Roman" w:hAnsi="Times New Roman"/>
          <w:sz w:val="32"/>
          <w:szCs w:val="32"/>
          <w:lang w:val="zh-TW" w:eastAsia="zh-TW"/>
        </w:rPr>
        <w:t>免收个体工商户委托的计量检测费用。协助企业申报住宿餐饮业的电梯、锅炉、压力容器定期检验和监督检验费用减半收取政策。</w:t>
      </w:r>
      <w:r>
        <w:rPr>
          <w:rFonts w:hint="eastAsia" w:ascii="楷体_GB2312" w:hAnsi="Times New Roman" w:eastAsia="楷体_GB2312"/>
          <w:sz w:val="32"/>
          <w:szCs w:val="32"/>
          <w:lang w:val="zh-TW" w:eastAsia="zh-TW"/>
        </w:rPr>
        <w:t>（责任单位：</w:t>
      </w:r>
      <w:r>
        <w:rPr>
          <w:rFonts w:hint="eastAsia" w:ascii="楷体_GB2312" w:hAnsi="Times New Roman" w:eastAsia="楷体_GB2312"/>
          <w:sz w:val="32"/>
          <w:szCs w:val="32"/>
          <w:lang w:val="zh-TW"/>
        </w:rPr>
        <w:t>县</w:t>
      </w:r>
      <w:r>
        <w:rPr>
          <w:rFonts w:hint="eastAsia" w:ascii="楷体_GB2312" w:hAnsi="Times New Roman" w:eastAsia="楷体_GB2312"/>
          <w:sz w:val="32"/>
          <w:szCs w:val="32"/>
          <w:lang w:val="zh-TW" w:eastAsia="zh-TW"/>
        </w:rPr>
        <w:t>市场监管局）</w:t>
      </w:r>
    </w:p>
    <w:p w14:paraId="252A2DD9">
      <w:pPr>
        <w:overflowPunct w:val="0"/>
        <w:autoSpaceDN/>
        <w:spacing w:line="560" w:lineRule="exact"/>
        <w:ind w:firstLine="640" w:firstLineChars="200"/>
        <w:jc w:val="both"/>
        <w:rPr>
          <w:rFonts w:ascii="楷体_GB2312" w:hAnsi="楷体" w:eastAsia="楷体_GB2312"/>
          <w:sz w:val="32"/>
          <w:szCs w:val="32"/>
          <w:lang w:val="zh-TW" w:eastAsia="zh-TW"/>
        </w:rPr>
      </w:pPr>
      <w:r>
        <w:rPr>
          <w:rFonts w:hint="eastAsia" w:ascii="Times New Roman" w:hAnsi="Times New Roman" w:eastAsia="宋体"/>
          <w:sz w:val="32"/>
          <w:szCs w:val="32"/>
          <w:lang w:val="en-US" w:eastAsia="zh-CN"/>
        </w:rPr>
        <w:t>25</w:t>
      </w:r>
      <w:r>
        <w:rPr>
          <w:rFonts w:ascii="Times New Roman" w:hAnsi="Times New Roman"/>
          <w:sz w:val="32"/>
          <w:szCs w:val="32"/>
          <w:lang w:val="zh-TW" w:eastAsia="zh-TW"/>
        </w:rPr>
        <w:t>.</w:t>
      </w:r>
      <w:r>
        <w:rPr>
          <w:rFonts w:ascii="Times New Roman" w:hAnsi="Times New Roman"/>
          <w:sz w:val="32"/>
          <w:szCs w:val="32"/>
          <w:lang w:val="en-US"/>
        </w:rPr>
        <w:t xml:space="preserve"> </w:t>
      </w:r>
      <w:r>
        <w:rPr>
          <w:rFonts w:hint="eastAsia" w:ascii="Times New Roman" w:hAnsi="Times New Roman"/>
          <w:sz w:val="32"/>
          <w:szCs w:val="32"/>
          <w:lang w:val="zh-TW" w:eastAsia="zh-TW"/>
        </w:rPr>
        <w:t>按现行标准的</w:t>
      </w:r>
      <w:r>
        <w:rPr>
          <w:rFonts w:ascii="Times New Roman" w:hAnsi="Times New Roman"/>
          <w:sz w:val="32"/>
          <w:szCs w:val="32"/>
          <w:lang w:val="zh-TW" w:eastAsia="zh-TW"/>
        </w:rPr>
        <w:t>80%</w:t>
      </w:r>
      <w:r>
        <w:rPr>
          <w:rFonts w:hint="eastAsia" w:ascii="Times New Roman" w:hAnsi="Times New Roman"/>
          <w:sz w:val="32"/>
          <w:szCs w:val="32"/>
          <w:lang w:val="zh-TW" w:eastAsia="zh-TW"/>
        </w:rPr>
        <w:t>收取水土保持补偿费。将防空地下室易地建设费标准下调</w:t>
      </w:r>
      <w:r>
        <w:rPr>
          <w:rFonts w:ascii="Times New Roman" w:hAnsi="Times New Roman"/>
          <w:sz w:val="32"/>
          <w:szCs w:val="32"/>
          <w:lang w:val="zh-TW" w:eastAsia="zh-TW"/>
        </w:rPr>
        <w:t>20%</w:t>
      </w:r>
      <w:r>
        <w:rPr>
          <w:rFonts w:hint="eastAsia" w:ascii="Times New Roman" w:hAnsi="Times New Roman"/>
          <w:sz w:val="32"/>
          <w:szCs w:val="32"/>
          <w:lang w:val="zh-TW" w:eastAsia="zh-TW"/>
        </w:rPr>
        <w:t>。</w:t>
      </w:r>
      <w:r>
        <w:rPr>
          <w:rFonts w:hint="eastAsia" w:ascii="楷体_GB2312" w:hAnsi="楷体" w:eastAsia="楷体_GB2312"/>
          <w:sz w:val="32"/>
          <w:szCs w:val="32"/>
          <w:lang w:val="zh-TW" w:eastAsia="zh-TW"/>
        </w:rPr>
        <w:t>（责任单位：</w:t>
      </w:r>
      <w:r>
        <w:rPr>
          <w:rFonts w:hint="eastAsia" w:ascii="楷体_GB2312" w:hAnsi="楷体" w:eastAsia="楷体_GB2312"/>
          <w:sz w:val="32"/>
          <w:szCs w:val="32"/>
          <w:lang w:val="zh-TW"/>
        </w:rPr>
        <w:t>县</w:t>
      </w:r>
      <w:r>
        <w:rPr>
          <w:rFonts w:hint="eastAsia" w:ascii="楷体_GB2312" w:hAnsi="楷体" w:eastAsia="楷体_GB2312"/>
          <w:sz w:val="32"/>
          <w:szCs w:val="32"/>
          <w:lang w:val="zh-TW" w:eastAsia="zh-TW"/>
        </w:rPr>
        <w:t>水利局、</w:t>
      </w:r>
      <w:r>
        <w:rPr>
          <w:rFonts w:hint="eastAsia" w:ascii="楷体_GB2312" w:hAnsi="楷体" w:eastAsia="楷体_GB2312"/>
          <w:sz w:val="32"/>
          <w:szCs w:val="32"/>
          <w:lang w:val="zh-TW"/>
        </w:rPr>
        <w:t>县</w:t>
      </w:r>
      <w:r>
        <w:rPr>
          <w:rFonts w:hint="eastAsia" w:ascii="楷体_GB2312" w:hAnsi="楷体" w:eastAsia="楷体_GB2312"/>
          <w:sz w:val="32"/>
          <w:szCs w:val="32"/>
          <w:lang w:val="zh-TW" w:eastAsia="zh-TW"/>
        </w:rPr>
        <w:t>住建局）</w:t>
      </w:r>
    </w:p>
    <w:p w14:paraId="4A3CAD81">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bookmarkStart w:id="16" w:name="bookmark42"/>
      <w:bookmarkEnd w:id="16"/>
      <w:r>
        <w:rPr>
          <w:rFonts w:hint="eastAsia" w:ascii="Times New Roman" w:hAnsi="Times New Roman" w:eastAsia="黑体" w:cs="Times New Roman"/>
          <w:sz w:val="32"/>
          <w:szCs w:val="32"/>
          <w:lang w:eastAsia="zh-CN"/>
        </w:rPr>
        <w:t>六、着力恢复和提振消费</w:t>
      </w:r>
      <w:bookmarkStart w:id="17" w:name="bookmark45"/>
      <w:bookmarkEnd w:id="17"/>
    </w:p>
    <w:p w14:paraId="7F38FEAC">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26</w:t>
      </w:r>
      <w:r>
        <w:rPr>
          <w:rFonts w:ascii="Times New Roman" w:hAnsi="Times New Roman" w:eastAsia="PMingLiU"/>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开展惠民促消费活动。组织我县餐饮协会、美食协会、餐饮企业参加连云港</w:t>
      </w:r>
      <w:r>
        <w:rPr>
          <w:rFonts w:hint="eastAsia" w:ascii="Times New Roman" w:hAnsi="Times New Roman"/>
          <w:sz w:val="32"/>
          <w:szCs w:val="32"/>
          <w:lang w:eastAsia="zh-CN"/>
        </w:rPr>
        <w:t>市</w:t>
      </w:r>
      <w:r>
        <w:rPr>
          <w:rFonts w:hint="eastAsia" w:ascii="Times New Roman" w:hAnsi="Times New Roman"/>
          <w:sz w:val="32"/>
          <w:szCs w:val="32"/>
        </w:rPr>
        <w:t>第六届“一带一路”餐饮文化博览会</w:t>
      </w:r>
      <w:r>
        <w:rPr>
          <w:rFonts w:hint="eastAsia" w:ascii="Times New Roman" w:hAnsi="Times New Roman"/>
          <w:sz w:val="32"/>
          <w:szCs w:val="32"/>
          <w:lang w:eastAsia="zh-CN"/>
        </w:rPr>
        <w:t>；</w:t>
      </w:r>
      <w:r>
        <w:rPr>
          <w:rFonts w:hint="eastAsia" w:ascii="Times New Roman" w:hAnsi="Times New Roman"/>
          <w:sz w:val="32"/>
          <w:szCs w:val="32"/>
        </w:rPr>
        <w:t>动员我县餐饮协会、美食协会、餐饮企业举办特色美食节活动，宣传灌南美食文化，促进餐饮消费；积极向国家和省争取商务发展专项资金，推进流通促消费工作。</w:t>
      </w:r>
      <w:r>
        <w:rPr>
          <w:rFonts w:hint="eastAsia" w:ascii="楷体_GB2312" w:hAnsi="Times New Roman" w:eastAsia="楷体_GB2312"/>
          <w:sz w:val="32"/>
          <w:szCs w:val="32"/>
          <w:lang w:eastAsia="zh-CN"/>
        </w:rPr>
        <w:t>（责任单位：县商务局、县财政局、县文广旅局）</w:t>
      </w:r>
      <w:bookmarkStart w:id="18" w:name="bookmark47"/>
      <w:bookmarkEnd w:id="18"/>
      <w:bookmarkStart w:id="19" w:name="bookmark46"/>
      <w:bookmarkEnd w:id="19"/>
    </w:p>
    <w:p w14:paraId="3DEDB3A7">
      <w:pPr>
        <w:pStyle w:val="25"/>
        <w:tabs>
          <w:tab w:val="left" w:pos="1178"/>
        </w:tabs>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27</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rPr>
        <w:t>推动电子商务发展。积极参加连云港市第四届“</w:t>
      </w:r>
      <w:r>
        <w:rPr>
          <w:rFonts w:ascii="Times New Roman" w:hAnsi="Times New Roman"/>
          <w:sz w:val="32"/>
          <w:szCs w:val="32"/>
        </w:rPr>
        <w:t>5</w:t>
      </w:r>
      <w:r>
        <w:rPr>
          <w:rFonts w:hint="eastAsia" w:ascii="Times New Roman" w:hAnsi="Times New Roman"/>
          <w:sz w:val="32"/>
          <w:szCs w:val="32"/>
        </w:rPr>
        <w:t>·</w:t>
      </w:r>
      <w:r>
        <w:rPr>
          <w:rFonts w:ascii="Times New Roman" w:hAnsi="Times New Roman"/>
          <w:sz w:val="32"/>
          <w:szCs w:val="32"/>
        </w:rPr>
        <w:t>18</w:t>
      </w:r>
      <w:r>
        <w:rPr>
          <w:rFonts w:hint="eastAsia" w:ascii="Times New Roman" w:hAnsi="Times New Roman"/>
          <w:sz w:val="32"/>
          <w:szCs w:val="32"/>
        </w:rPr>
        <w:t>”网络购物季活动，举办灌南网络购物专场，开展电商直播带货，推动我县食用菌、葡萄、虾田米等优质、特色农产品销售；举办灌南县第二届电商发展大会，邀请全国知名电商企业和人士参加</w:t>
      </w:r>
      <w:r>
        <w:rPr>
          <w:rFonts w:hint="eastAsia" w:ascii="Times New Roman" w:hAnsi="Times New Roman"/>
          <w:sz w:val="32"/>
          <w:szCs w:val="32"/>
          <w:lang w:eastAsia="zh-CN"/>
        </w:rPr>
        <w:t>，</w:t>
      </w:r>
      <w:r>
        <w:rPr>
          <w:rFonts w:hint="eastAsia" w:ascii="Times New Roman" w:hAnsi="Times New Roman"/>
          <w:sz w:val="32"/>
          <w:szCs w:val="32"/>
        </w:rPr>
        <w:t>组织开展灌南县农产品电商销售专题研讨会，共谋灌南农产品电商发展大计，共推灌南电商产业发展。</w:t>
      </w:r>
      <w:r>
        <w:rPr>
          <w:rFonts w:hint="eastAsia" w:ascii="楷体_GB2312" w:hAnsi="Times New Roman" w:eastAsia="楷体_GB2312"/>
          <w:sz w:val="32"/>
          <w:szCs w:val="32"/>
          <w:lang w:eastAsia="zh-CN"/>
        </w:rPr>
        <w:t>（责任单位：县商务局、县邮政管理局、县市场监管局）</w:t>
      </w:r>
    </w:p>
    <w:p w14:paraId="5AB8FEAD">
      <w:pPr>
        <w:pStyle w:val="25"/>
        <w:tabs>
          <w:tab w:val="left" w:pos="1178"/>
        </w:tabs>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sz w:val="32"/>
          <w:szCs w:val="32"/>
          <w:lang w:val="en-US" w:eastAsia="zh-CN"/>
        </w:rPr>
        <w:t>28</w:t>
      </w:r>
      <w:r>
        <w:rPr>
          <w:rFonts w:ascii="Times New Roman" w:hAnsi="Times New Roman"/>
          <w:sz w:val="32"/>
          <w:szCs w:val="32"/>
          <w:lang w:val="en-US" w:eastAsia="zh-CN"/>
        </w:rPr>
        <w:t>.</w:t>
      </w:r>
      <w:r>
        <w:rPr>
          <w:rFonts w:hint="eastAsia" w:ascii="Times New Roman" w:hAnsi="Times New Roman"/>
          <w:sz w:val="32"/>
          <w:szCs w:val="32"/>
          <w:lang w:val="en-US" w:eastAsia="zh-CN"/>
        </w:rPr>
        <w:t xml:space="preserve"> 开展一刻钟便民生活圈建设。根据市商务局等</w:t>
      </w:r>
      <w:r>
        <w:rPr>
          <w:rFonts w:ascii="Times New Roman" w:hAnsi="Times New Roman"/>
          <w:sz w:val="32"/>
          <w:szCs w:val="32"/>
          <w:lang w:val="en-US" w:eastAsia="zh-CN"/>
        </w:rPr>
        <w:t>12</w:t>
      </w:r>
      <w:r>
        <w:rPr>
          <w:rFonts w:hint="eastAsia" w:ascii="Times New Roman" w:hAnsi="Times New Roman"/>
          <w:sz w:val="32"/>
          <w:szCs w:val="32"/>
          <w:lang w:val="en-US" w:eastAsia="zh-CN"/>
        </w:rPr>
        <w:t>部门推进城市一刻钟便民生活圈建设的要求，按照便利店、再生资源回收点等</w:t>
      </w:r>
      <w:r>
        <w:rPr>
          <w:rFonts w:ascii="Times New Roman" w:hAnsi="Times New Roman"/>
          <w:sz w:val="32"/>
          <w:szCs w:val="32"/>
          <w:lang w:val="en-US" w:eastAsia="zh-CN"/>
        </w:rPr>
        <w:t>13</w:t>
      </w:r>
      <w:r>
        <w:rPr>
          <w:rFonts w:hint="eastAsia" w:ascii="Times New Roman" w:hAnsi="Times New Roman"/>
          <w:sz w:val="32"/>
          <w:szCs w:val="32"/>
          <w:lang w:val="en-US" w:eastAsia="zh-CN"/>
        </w:rPr>
        <w:t>类生活保障类经济业态和新式书店、休闲娱乐等</w:t>
      </w:r>
      <w:r>
        <w:rPr>
          <w:rFonts w:ascii="Times New Roman" w:hAnsi="Times New Roman"/>
          <w:sz w:val="32"/>
          <w:szCs w:val="32"/>
          <w:lang w:val="en-US" w:eastAsia="zh-CN"/>
        </w:rPr>
        <w:t>8</w:t>
      </w:r>
      <w:r>
        <w:rPr>
          <w:rFonts w:hint="eastAsia" w:ascii="Times New Roman" w:hAnsi="Times New Roman"/>
          <w:sz w:val="32"/>
          <w:szCs w:val="32"/>
          <w:lang w:val="en-US" w:eastAsia="zh-CN"/>
        </w:rPr>
        <w:t>类品质提升类经济业态建设标准，</w:t>
      </w:r>
      <w:r>
        <w:rPr>
          <w:rFonts w:ascii="Times New Roman" w:hAnsi="Times New Roman"/>
          <w:sz w:val="32"/>
          <w:szCs w:val="32"/>
          <w:lang w:val="en-US" w:eastAsia="zh-CN"/>
        </w:rPr>
        <w:t>2023</w:t>
      </w:r>
      <w:r>
        <w:rPr>
          <w:rFonts w:hint="eastAsia" w:ascii="Times New Roman" w:hAnsi="Times New Roman"/>
          <w:sz w:val="32"/>
          <w:szCs w:val="32"/>
          <w:lang w:val="en-US" w:eastAsia="zh-CN"/>
        </w:rPr>
        <w:t>年，以“恒基广场”为中心，完成一刻钟便民生活圈建设。</w:t>
      </w:r>
      <w:r>
        <w:rPr>
          <w:rFonts w:hint="eastAsia" w:ascii="楷体_GB2312" w:hAnsi="Times New Roman" w:eastAsia="楷体_GB2312"/>
          <w:sz w:val="32"/>
          <w:szCs w:val="32"/>
          <w:lang w:eastAsia="zh-CN"/>
        </w:rPr>
        <w:t>（责任单位：县商务局、县自然资源局、县住建局、县财政局）</w:t>
      </w:r>
    </w:p>
    <w:p w14:paraId="5BA08FC5">
      <w:pPr>
        <w:pStyle w:val="25"/>
        <w:tabs>
          <w:tab w:val="left" w:pos="1178"/>
        </w:tabs>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29</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大力开展县域商业体系建设。</w:t>
      </w:r>
      <w:r>
        <w:rPr>
          <w:rFonts w:hint="eastAsia" w:ascii="Times New Roman" w:hAnsi="Times New Roman"/>
          <w:sz w:val="32"/>
          <w:szCs w:val="32"/>
          <w:lang w:val="en-US" w:eastAsia="zh-CN"/>
        </w:rPr>
        <w:t>积极向上争取有关项目资金，推进县级物流配送中心、农贸市场、村级末端配送网点改造升级和建设。</w:t>
      </w:r>
      <w:r>
        <w:rPr>
          <w:rFonts w:ascii="Times New Roman" w:hAnsi="Times New Roman"/>
          <w:sz w:val="32"/>
          <w:szCs w:val="32"/>
          <w:lang w:val="en-US" w:eastAsia="zh-CN"/>
        </w:rPr>
        <w:t>2023</w:t>
      </w:r>
      <w:r>
        <w:rPr>
          <w:rFonts w:hint="eastAsia" w:ascii="Times New Roman" w:hAnsi="Times New Roman"/>
          <w:sz w:val="32"/>
          <w:szCs w:val="32"/>
          <w:lang w:val="en-US" w:eastAsia="zh-CN"/>
        </w:rPr>
        <w:t>年，依托灌南电商物流产业园建设</w:t>
      </w:r>
      <w:r>
        <w:rPr>
          <w:rFonts w:ascii="Times New Roman" w:hAnsi="Times New Roman"/>
          <w:sz w:val="32"/>
          <w:szCs w:val="32"/>
          <w:lang w:val="en-US" w:eastAsia="zh-CN"/>
        </w:rPr>
        <w:t>1</w:t>
      </w:r>
      <w:r>
        <w:rPr>
          <w:rFonts w:hint="eastAsia" w:ascii="Times New Roman" w:hAnsi="Times New Roman"/>
          <w:sz w:val="32"/>
          <w:szCs w:val="32"/>
          <w:lang w:val="en-US" w:eastAsia="zh-CN"/>
        </w:rPr>
        <w:t>个县乡公共寄配送中心，在新安镇南大院建设</w:t>
      </w:r>
      <w:r>
        <w:rPr>
          <w:rFonts w:ascii="Times New Roman" w:hAnsi="Times New Roman"/>
          <w:sz w:val="32"/>
          <w:szCs w:val="32"/>
          <w:lang w:val="en-US" w:eastAsia="zh-CN"/>
        </w:rPr>
        <w:t>1</w:t>
      </w:r>
      <w:r>
        <w:rPr>
          <w:rFonts w:hint="eastAsia" w:ascii="Times New Roman" w:hAnsi="Times New Roman"/>
          <w:sz w:val="32"/>
          <w:szCs w:val="32"/>
          <w:lang w:val="en-US" w:eastAsia="zh-CN"/>
        </w:rPr>
        <w:t>个农贸市场，改造升级</w:t>
      </w:r>
      <w:r>
        <w:rPr>
          <w:rFonts w:ascii="Times New Roman" w:hAnsi="Times New Roman"/>
          <w:sz w:val="32"/>
          <w:szCs w:val="32"/>
          <w:lang w:val="en-US" w:eastAsia="zh-CN"/>
        </w:rPr>
        <w:t>20</w:t>
      </w:r>
      <w:r>
        <w:rPr>
          <w:rFonts w:hint="eastAsia" w:ascii="Times New Roman" w:hAnsi="Times New Roman"/>
          <w:sz w:val="32"/>
          <w:szCs w:val="32"/>
          <w:lang w:val="en-US" w:eastAsia="zh-CN"/>
        </w:rPr>
        <w:t>个村级末端配送网点。</w:t>
      </w:r>
      <w:r>
        <w:rPr>
          <w:rFonts w:hint="eastAsia" w:ascii="楷体_GB2312" w:hAnsi="Times New Roman" w:eastAsia="楷体_GB2312"/>
          <w:sz w:val="32"/>
          <w:szCs w:val="32"/>
          <w:lang w:eastAsia="zh-CN"/>
        </w:rPr>
        <w:t>（责任单位：县商务局、县自然资源局、县住建局、县交通局、县农业农村局、县财政局、县邮政管理局）</w:t>
      </w:r>
    </w:p>
    <w:p w14:paraId="17F00380">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30</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积极争取</w:t>
      </w:r>
      <w:r>
        <w:rPr>
          <w:rFonts w:hint="eastAsia" w:ascii="Times New Roman" w:hAnsi="Times New Roman"/>
          <w:sz w:val="32"/>
          <w:szCs w:val="32"/>
          <w:lang w:eastAsia="zh-CN"/>
        </w:rPr>
        <w:t>上</w:t>
      </w:r>
      <w:r>
        <w:rPr>
          <w:rFonts w:hint="eastAsia" w:ascii="Times New Roman" w:hAnsi="Times New Roman"/>
          <w:sz w:val="32"/>
          <w:szCs w:val="32"/>
        </w:rPr>
        <w:t>级文旅产业发展资金，组织开展</w:t>
      </w:r>
      <w:r>
        <w:rPr>
          <w:rFonts w:ascii="Times New Roman" w:hAnsi="Times New Roman"/>
          <w:sz w:val="32"/>
          <w:szCs w:val="32"/>
        </w:rPr>
        <w:t>2023</w:t>
      </w:r>
      <w:r>
        <w:rPr>
          <w:rFonts w:hint="eastAsia" w:ascii="Times New Roman" w:hAnsi="Times New Roman"/>
          <w:sz w:val="32"/>
          <w:szCs w:val="32"/>
        </w:rPr>
        <w:t>年度县级文化产业发展补助资金补助项目申报</w:t>
      </w:r>
      <w:r>
        <w:rPr>
          <w:rFonts w:hint="eastAsia" w:ascii="Times New Roman" w:hAnsi="Times New Roman"/>
          <w:sz w:val="32"/>
          <w:szCs w:val="32"/>
          <w:lang w:eastAsia="zh-CN"/>
        </w:rPr>
        <w:t>，</w:t>
      </w:r>
      <w:r>
        <w:rPr>
          <w:rFonts w:hint="eastAsia" w:ascii="Times New Roman" w:hAnsi="Times New Roman"/>
          <w:sz w:val="32"/>
          <w:szCs w:val="32"/>
        </w:rPr>
        <w:t>重点支持消费新产品、夜间小剧院、城市伴手礼等文旅融合项目建设，支持文化企业和项目发展。加大争取</w:t>
      </w:r>
      <w:r>
        <w:rPr>
          <w:rFonts w:hint="eastAsia" w:ascii="Times New Roman" w:hAnsi="Times New Roman"/>
          <w:sz w:val="32"/>
          <w:szCs w:val="32"/>
          <w:lang w:eastAsia="zh-CN"/>
        </w:rPr>
        <w:t>上</w:t>
      </w:r>
      <w:r>
        <w:rPr>
          <w:rFonts w:hint="eastAsia" w:ascii="Times New Roman" w:hAnsi="Times New Roman"/>
          <w:sz w:val="32"/>
          <w:szCs w:val="32"/>
        </w:rPr>
        <w:t>级旅游产业发展基金支持力度，确保</w:t>
      </w:r>
      <w:r>
        <w:rPr>
          <w:rFonts w:ascii="Times New Roman" w:hAnsi="Times New Roman"/>
          <w:sz w:val="32"/>
          <w:szCs w:val="32"/>
        </w:rPr>
        <w:t>2023</w:t>
      </w:r>
      <w:r>
        <w:rPr>
          <w:rFonts w:hint="eastAsia" w:ascii="Times New Roman" w:hAnsi="Times New Roman"/>
          <w:sz w:val="32"/>
          <w:szCs w:val="32"/>
        </w:rPr>
        <w:t>年我县纳入支持的新项目中，小微企业数量占比不低于</w:t>
      </w:r>
      <w:r>
        <w:rPr>
          <w:rFonts w:ascii="Times New Roman" w:hAnsi="Times New Roman"/>
          <w:sz w:val="32"/>
          <w:szCs w:val="32"/>
        </w:rPr>
        <w:t>30%</w:t>
      </w:r>
      <w:r>
        <w:rPr>
          <w:rFonts w:hint="eastAsia" w:ascii="Times New Roman" w:hAnsi="Times New Roman"/>
          <w:sz w:val="32"/>
          <w:szCs w:val="32"/>
          <w:lang w:eastAsia="zh-CN"/>
        </w:rPr>
        <w:t>。</w:t>
      </w:r>
      <w:r>
        <w:rPr>
          <w:rFonts w:hint="eastAsia" w:ascii="楷体_GB2312" w:hAnsi="Times New Roman" w:eastAsia="楷体_GB2312"/>
          <w:sz w:val="32"/>
          <w:szCs w:val="32"/>
          <w:lang w:eastAsia="zh-CN"/>
        </w:rPr>
        <w:t>（责任单位：县委宣传部，县文广旅局、县财政局）</w:t>
      </w:r>
    </w:p>
    <w:p w14:paraId="757E6669">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sz w:val="32"/>
          <w:szCs w:val="32"/>
          <w:lang w:val="en-US" w:eastAsia="zh-CN"/>
        </w:rPr>
        <w:t>31</w:t>
      </w:r>
      <w:r>
        <w:rPr>
          <w:rFonts w:ascii="Times New Roman" w:hAnsi="Times New Roman"/>
          <w:sz w:val="32"/>
          <w:szCs w:val="32"/>
          <w:lang w:val="en-US" w:eastAsia="zh-CN"/>
        </w:rPr>
        <w:t xml:space="preserve">. </w:t>
      </w:r>
      <w:r>
        <w:rPr>
          <w:rFonts w:hint="eastAsia" w:ascii="Times New Roman" w:hAnsi="Times New Roman"/>
          <w:sz w:val="32"/>
          <w:szCs w:val="32"/>
        </w:rPr>
        <w:t>继续实施</w:t>
      </w:r>
      <w:r>
        <w:rPr>
          <w:rFonts w:ascii="Times New Roman" w:hAnsi="Times New Roman"/>
          <w:sz w:val="32"/>
          <w:szCs w:val="32"/>
        </w:rPr>
        <w:t>100%</w:t>
      </w:r>
      <w:r>
        <w:rPr>
          <w:rFonts w:hint="eastAsia" w:ascii="Times New Roman" w:hAnsi="Times New Roman"/>
          <w:sz w:val="32"/>
          <w:szCs w:val="32"/>
        </w:rPr>
        <w:t>暂退旅游服务质量保证金政策</w:t>
      </w:r>
      <w:r>
        <w:rPr>
          <w:rFonts w:hint="eastAsia" w:ascii="Times New Roman" w:hAnsi="Times New Roman"/>
          <w:sz w:val="32"/>
          <w:szCs w:val="32"/>
          <w:lang w:eastAsia="zh-CN"/>
        </w:rPr>
        <w:t>，</w:t>
      </w:r>
      <w:r>
        <w:rPr>
          <w:rFonts w:hint="eastAsia" w:ascii="Times New Roman" w:hAnsi="Times New Roman"/>
          <w:sz w:val="32"/>
          <w:szCs w:val="32"/>
        </w:rPr>
        <w:t>补足保证金期限延至</w:t>
      </w:r>
      <w:r>
        <w:rPr>
          <w:rFonts w:ascii="Times New Roman" w:hAnsi="Times New Roman"/>
          <w:sz w:val="32"/>
          <w:szCs w:val="32"/>
        </w:rPr>
        <w:t>2023</w:t>
      </w:r>
      <w:r>
        <w:rPr>
          <w:rFonts w:hint="eastAsia" w:ascii="Times New Roman" w:hAnsi="Times New Roman"/>
          <w:sz w:val="32"/>
          <w:szCs w:val="32"/>
        </w:rPr>
        <w:t>年</w:t>
      </w:r>
      <w:r>
        <w:rPr>
          <w:rFonts w:ascii="Times New Roman" w:hAnsi="Times New Roman"/>
          <w:sz w:val="32"/>
          <w:szCs w:val="32"/>
        </w:rPr>
        <w:t>3</w:t>
      </w:r>
      <w:r>
        <w:rPr>
          <w:rFonts w:hint="eastAsia" w:ascii="Times New Roman" w:hAnsi="Times New Roman"/>
          <w:sz w:val="32"/>
          <w:szCs w:val="32"/>
        </w:rPr>
        <w:t>月</w:t>
      </w:r>
      <w:r>
        <w:rPr>
          <w:rFonts w:ascii="Times New Roman" w:hAnsi="Times New Roman"/>
          <w:sz w:val="32"/>
          <w:szCs w:val="32"/>
        </w:rPr>
        <w:t>31</w:t>
      </w:r>
      <w:r>
        <w:rPr>
          <w:rFonts w:hint="eastAsia" w:ascii="Times New Roman" w:hAnsi="Times New Roman"/>
          <w:sz w:val="32"/>
          <w:szCs w:val="32"/>
        </w:rPr>
        <w:t>日。对提供广告和娱乐服务的单位和个人</w:t>
      </w:r>
      <w:r>
        <w:rPr>
          <w:rFonts w:hint="eastAsia" w:ascii="Times New Roman" w:hAnsi="Times New Roman"/>
          <w:sz w:val="32"/>
          <w:szCs w:val="32"/>
          <w:lang w:eastAsia="zh-CN"/>
        </w:rPr>
        <w:t>，</w:t>
      </w:r>
      <w:r>
        <w:rPr>
          <w:rFonts w:hint="eastAsia" w:ascii="Times New Roman" w:hAnsi="Times New Roman"/>
          <w:sz w:val="32"/>
          <w:szCs w:val="32"/>
        </w:rPr>
        <w:t>按应缴费额的</w:t>
      </w:r>
      <w:r>
        <w:rPr>
          <w:rFonts w:ascii="Times New Roman" w:hAnsi="Times New Roman"/>
          <w:sz w:val="32"/>
          <w:szCs w:val="32"/>
        </w:rPr>
        <w:t>50%</w:t>
      </w:r>
      <w:r>
        <w:rPr>
          <w:rFonts w:hint="eastAsia" w:ascii="Times New Roman" w:hAnsi="Times New Roman"/>
          <w:sz w:val="32"/>
          <w:szCs w:val="32"/>
        </w:rPr>
        <w:t>减征归属地方收入的文化事业建设费。</w:t>
      </w:r>
      <w:r>
        <w:rPr>
          <w:rFonts w:hint="eastAsia" w:ascii="楷体_GB2312" w:hAnsi="Times New Roman" w:eastAsia="楷体_GB2312"/>
          <w:sz w:val="32"/>
          <w:szCs w:val="32"/>
          <w:lang w:eastAsia="zh-CN"/>
        </w:rPr>
        <w:t>（责任单位：县文广旅局、县财政局）</w:t>
      </w:r>
      <w:bookmarkStart w:id="20" w:name="bookmark53"/>
      <w:bookmarkEnd w:id="20"/>
    </w:p>
    <w:p w14:paraId="1602BA7E">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eastAsia="PMingLiU"/>
          <w:sz w:val="32"/>
          <w:szCs w:val="32"/>
        </w:rPr>
        <w:t>3</w:t>
      </w:r>
      <w:r>
        <w:rPr>
          <w:rFonts w:hint="eastAsia" w:ascii="Times New Roman" w:hAnsi="Times New Roman" w:eastAsia="宋体"/>
          <w:sz w:val="32"/>
          <w:szCs w:val="32"/>
          <w:lang w:val="en-US" w:eastAsia="zh-CN"/>
        </w:rPr>
        <w:t>2</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鼓励机关、企事业单位及社会团体开展公务活动和群团活动时，委托旅行社等文旅企业代理安排交通、住宿、餐饮、会务等事项，预付款比例不低于</w:t>
      </w:r>
      <w:r>
        <w:rPr>
          <w:rFonts w:ascii="Times New Roman" w:hAnsi="Times New Roman"/>
          <w:sz w:val="32"/>
          <w:szCs w:val="32"/>
        </w:rPr>
        <w:t>50%</w:t>
      </w:r>
      <w:r>
        <w:rPr>
          <w:rFonts w:hint="eastAsia" w:ascii="Times New Roman" w:hAnsi="Times New Roman"/>
          <w:sz w:val="32"/>
          <w:szCs w:val="32"/>
        </w:rPr>
        <w:t>。鼓励各文旅行业单位开发文化游</w:t>
      </w:r>
      <w:r>
        <w:rPr>
          <w:rFonts w:hint="eastAsia" w:ascii="Times New Roman" w:hAnsi="Times New Roman"/>
          <w:sz w:val="32"/>
          <w:szCs w:val="32"/>
          <w:lang w:eastAsia="zh-CN"/>
        </w:rPr>
        <w:t>、</w:t>
      </w:r>
      <w:r>
        <w:rPr>
          <w:rFonts w:hint="eastAsia" w:ascii="Times New Roman" w:hAnsi="Times New Roman"/>
          <w:sz w:val="32"/>
          <w:szCs w:val="32"/>
        </w:rPr>
        <w:t>度假游、红色游等灌南精品旅游线路</w:t>
      </w:r>
      <w:r>
        <w:rPr>
          <w:rFonts w:hint="eastAsia" w:ascii="Times New Roman" w:hAnsi="Times New Roman"/>
          <w:sz w:val="32"/>
          <w:szCs w:val="32"/>
          <w:lang w:eastAsia="zh-CN"/>
        </w:rPr>
        <w:t>，</w:t>
      </w:r>
      <w:r>
        <w:rPr>
          <w:rFonts w:hint="eastAsia" w:ascii="Times New Roman" w:hAnsi="Times New Roman"/>
          <w:sz w:val="32"/>
          <w:szCs w:val="32"/>
        </w:rPr>
        <w:t>向</w:t>
      </w:r>
      <w:r>
        <w:rPr>
          <w:rFonts w:hint="eastAsia" w:ascii="Times New Roman" w:hAnsi="Times New Roman"/>
          <w:sz w:val="32"/>
          <w:szCs w:val="32"/>
          <w:lang w:eastAsia="zh-CN"/>
        </w:rPr>
        <w:t>县</w:t>
      </w:r>
      <w:r>
        <w:rPr>
          <w:rFonts w:hint="eastAsia" w:ascii="Times New Roman" w:hAnsi="Times New Roman"/>
          <w:sz w:val="32"/>
          <w:szCs w:val="32"/>
        </w:rPr>
        <w:t>外各级工会组织积极推广我县旅游路线和产品。</w:t>
      </w:r>
      <w:r>
        <w:rPr>
          <w:rFonts w:hint="eastAsia" w:ascii="楷体_GB2312" w:hAnsi="Times New Roman" w:eastAsia="楷体_GB2312"/>
          <w:sz w:val="32"/>
          <w:szCs w:val="32"/>
          <w:lang w:eastAsia="zh-CN"/>
        </w:rPr>
        <w:t>（责任单位：县文广旅局、县财政局、县总工会）</w:t>
      </w:r>
      <w:bookmarkStart w:id="21" w:name="bookmark54"/>
      <w:bookmarkEnd w:id="21"/>
    </w:p>
    <w:p w14:paraId="3837B0C6">
      <w:pPr>
        <w:pStyle w:val="25"/>
        <w:overflowPunct w:val="0"/>
        <w:autoSpaceDN/>
        <w:spacing w:line="560" w:lineRule="exact"/>
        <w:ind w:firstLine="640" w:firstLineChars="200"/>
        <w:jc w:val="both"/>
        <w:rPr>
          <w:rFonts w:ascii="楷体_GB2312" w:hAnsi="Times New Roman" w:eastAsia="楷体_GB2312"/>
          <w:sz w:val="32"/>
          <w:szCs w:val="32"/>
          <w:lang w:eastAsia="zh-CN"/>
        </w:rPr>
      </w:pPr>
      <w:bookmarkStart w:id="22" w:name="bookmark55"/>
      <w:bookmarkEnd w:id="22"/>
      <w:r>
        <w:rPr>
          <w:rFonts w:ascii="Times New Roman" w:hAnsi="Times New Roman" w:eastAsia="PMingLiU"/>
          <w:sz w:val="32"/>
          <w:szCs w:val="32"/>
        </w:rPr>
        <w:t>3</w:t>
      </w:r>
      <w:r>
        <w:rPr>
          <w:rFonts w:hint="eastAsia" w:ascii="Times New Roman" w:hAnsi="Times New Roman" w:eastAsia="宋体"/>
          <w:sz w:val="32"/>
          <w:szCs w:val="32"/>
          <w:lang w:val="en-US" w:eastAsia="zh-CN"/>
        </w:rPr>
        <w:t>3</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筹备举办菌菇特色美食节活动，加强与传统媒体、新媒体的合作</w:t>
      </w:r>
      <w:r>
        <w:rPr>
          <w:rFonts w:hint="eastAsia" w:ascii="Times New Roman" w:hAnsi="Times New Roman"/>
          <w:sz w:val="32"/>
          <w:szCs w:val="32"/>
          <w:lang w:eastAsia="zh-CN"/>
        </w:rPr>
        <w:t>，</w:t>
      </w:r>
      <w:r>
        <w:rPr>
          <w:rFonts w:hint="eastAsia" w:ascii="Times New Roman" w:hAnsi="Times New Roman"/>
          <w:sz w:val="32"/>
          <w:szCs w:val="32"/>
        </w:rPr>
        <w:t>擦亮灌南菌菇特色美食品牌</w:t>
      </w:r>
      <w:r>
        <w:rPr>
          <w:rFonts w:hint="eastAsia" w:ascii="Times New Roman" w:hAnsi="Times New Roman"/>
          <w:sz w:val="32"/>
          <w:szCs w:val="32"/>
          <w:lang w:eastAsia="zh-CN"/>
        </w:rPr>
        <w:t>，</w:t>
      </w:r>
      <w:r>
        <w:rPr>
          <w:rFonts w:hint="eastAsia" w:ascii="Times New Roman" w:hAnsi="Times New Roman"/>
          <w:sz w:val="32"/>
          <w:szCs w:val="32"/>
        </w:rPr>
        <w:t>进一步叫响“二郎故里，灵秀灌南”品牌。</w:t>
      </w:r>
      <w:r>
        <w:rPr>
          <w:rFonts w:hint="eastAsia" w:ascii="楷体_GB2312" w:hAnsi="Times New Roman" w:eastAsia="楷体_GB2312"/>
          <w:sz w:val="32"/>
          <w:szCs w:val="32"/>
          <w:lang w:eastAsia="zh-CN"/>
        </w:rPr>
        <w:t>（责任单位:县文广旅局）</w:t>
      </w:r>
    </w:p>
    <w:p w14:paraId="3AEA27F5">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ascii="Times New Roman" w:hAnsi="Times New Roman" w:eastAsia="PMingLiU"/>
          <w:sz w:val="32"/>
          <w:szCs w:val="32"/>
        </w:rPr>
        <w:t>3</w:t>
      </w:r>
      <w:r>
        <w:rPr>
          <w:rFonts w:hint="eastAsia" w:ascii="Times New Roman" w:hAnsi="Times New Roman" w:eastAsia="宋体"/>
          <w:sz w:val="32"/>
          <w:szCs w:val="32"/>
          <w:lang w:val="en-US" w:eastAsia="zh-CN"/>
        </w:rPr>
        <w:t>4</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组织优秀文化企业参加深圳文博会、长三角文博会、南京融交会等文化展会，宣传展示我县文化产业发展成果。</w:t>
      </w:r>
      <w:r>
        <w:rPr>
          <w:rFonts w:hint="eastAsia" w:ascii="楷体_GB2312" w:hAnsi="Times New Roman" w:eastAsia="楷体_GB2312"/>
          <w:sz w:val="32"/>
          <w:szCs w:val="32"/>
          <w:lang w:eastAsia="zh-CN"/>
        </w:rPr>
        <w:t>（责任单位：县委宣传部）</w:t>
      </w:r>
    </w:p>
    <w:p w14:paraId="1C7E9F62">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七、积极扩大有效投资</w:t>
      </w:r>
      <w:bookmarkStart w:id="23" w:name="bookmark56"/>
      <w:bookmarkEnd w:id="23"/>
    </w:p>
    <w:p w14:paraId="2CC6A261">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sz w:val="32"/>
          <w:szCs w:val="32"/>
          <w:lang w:val="en-US" w:eastAsia="zh-CN"/>
        </w:rPr>
        <w:t>35</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rPr>
        <w:t>持续拓宽民间投资行业领域</w:t>
      </w:r>
      <w:r>
        <w:rPr>
          <w:rFonts w:hint="eastAsia" w:ascii="Times New Roman" w:hAnsi="Times New Roman"/>
          <w:sz w:val="32"/>
          <w:szCs w:val="32"/>
          <w:lang w:eastAsia="zh-CN"/>
        </w:rPr>
        <w:t>，</w:t>
      </w:r>
      <w:r>
        <w:rPr>
          <w:rFonts w:hint="eastAsia" w:ascii="Times New Roman" w:hAnsi="Times New Roman"/>
          <w:sz w:val="32"/>
          <w:szCs w:val="32"/>
        </w:rPr>
        <w:t>鼓励民间资本参与我县交通、</w:t>
      </w:r>
      <w:r>
        <w:rPr>
          <w:rFonts w:hint="eastAsia" w:ascii="Times New Roman" w:hAnsi="Times New Roman"/>
          <w:sz w:val="32"/>
          <w:szCs w:val="32"/>
          <w:lang w:eastAsia="zh-CN"/>
        </w:rPr>
        <w:t>市</w:t>
      </w:r>
      <w:r>
        <w:rPr>
          <w:rFonts w:hint="eastAsia" w:ascii="Times New Roman" w:hAnsi="Times New Roman"/>
          <w:sz w:val="32"/>
          <w:szCs w:val="32"/>
        </w:rPr>
        <w:t>政公用、生态环保、社会事业等领域项目投资，广泛开展国有资本和民间资本合作，鼓励县属国有企业拿出一定比例的项目，通过股权转让、增资扩股、项目合作等方式，与具有产业链或价值链关联、在行业中有竞争优势、知名度较高的民间资本开展合作，共同推进重大工程项目建设。</w:t>
      </w:r>
      <w:r>
        <w:rPr>
          <w:rFonts w:hint="eastAsia" w:ascii="楷体_GB2312" w:hAnsi="Times New Roman" w:eastAsia="楷体_GB2312"/>
          <w:sz w:val="32"/>
          <w:szCs w:val="32"/>
          <w:lang w:eastAsia="zh-CN"/>
        </w:rPr>
        <w:t>（责任单位：县发改委、县交通局、县住建局、县水利局、灌南生态环境局、县教育局、县卫健委、县财政局）</w:t>
      </w:r>
      <w:bookmarkStart w:id="24" w:name="bookmark59"/>
      <w:bookmarkEnd w:id="24"/>
      <w:bookmarkStart w:id="25" w:name="bookmark63"/>
      <w:bookmarkEnd w:id="25"/>
      <w:bookmarkStart w:id="26" w:name="bookmark65"/>
      <w:bookmarkEnd w:id="26"/>
      <w:bookmarkStart w:id="27" w:name="bookmark61"/>
      <w:bookmarkEnd w:id="27"/>
      <w:bookmarkStart w:id="28" w:name="bookmark64"/>
      <w:bookmarkEnd w:id="28"/>
      <w:bookmarkStart w:id="29" w:name="bookmark57"/>
      <w:bookmarkEnd w:id="29"/>
    </w:p>
    <w:p w14:paraId="523058F5">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36</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在</w:t>
      </w:r>
      <w:r>
        <w:rPr>
          <w:rFonts w:hint="eastAsia" w:ascii="Times New Roman" w:hAnsi="Times New Roman"/>
          <w:sz w:val="32"/>
          <w:szCs w:val="32"/>
          <w:lang w:eastAsia="zh-CN"/>
        </w:rPr>
        <w:t>省级园区</w:t>
      </w:r>
      <w:r>
        <w:rPr>
          <w:rFonts w:hint="eastAsia" w:ascii="Times New Roman" w:hAnsi="Times New Roman"/>
          <w:sz w:val="32"/>
          <w:szCs w:val="32"/>
        </w:rPr>
        <w:t>推广“标准地</w:t>
      </w:r>
      <w:r>
        <w:rPr>
          <w:rFonts w:ascii="Times New Roman" w:hAnsi="Times New Roman"/>
          <w:sz w:val="32"/>
          <w:szCs w:val="32"/>
        </w:rPr>
        <w:t>+</w:t>
      </w:r>
      <w:r>
        <w:rPr>
          <w:rFonts w:hint="eastAsia" w:ascii="Times New Roman" w:hAnsi="Times New Roman"/>
          <w:sz w:val="32"/>
          <w:szCs w:val="32"/>
        </w:rPr>
        <w:t>双信地</w:t>
      </w:r>
      <w:r>
        <w:rPr>
          <w:rFonts w:ascii="Times New Roman" w:hAnsi="Times New Roman"/>
          <w:sz w:val="32"/>
          <w:szCs w:val="32"/>
        </w:rPr>
        <w:t>+</w:t>
      </w:r>
      <w:r>
        <w:rPr>
          <w:rFonts w:hint="eastAsia" w:ascii="Times New Roman" w:hAnsi="Times New Roman"/>
          <w:sz w:val="32"/>
          <w:szCs w:val="32"/>
        </w:rPr>
        <w:t>定制地”出让模式改革，探索采用不可撤销、无条件见索即付保函等方式缴纳竞买保证金。灵活实施工业用地长期租赁、弹性出让、先租后让</w:t>
      </w:r>
      <w:r>
        <w:rPr>
          <w:rFonts w:hint="eastAsia" w:ascii="Times New Roman" w:hAnsi="Times New Roman"/>
          <w:sz w:val="32"/>
          <w:szCs w:val="32"/>
          <w:lang w:eastAsia="zh-CN"/>
        </w:rPr>
        <w:t>、</w:t>
      </w:r>
      <w:r>
        <w:rPr>
          <w:rFonts w:hint="eastAsia" w:ascii="Times New Roman" w:hAnsi="Times New Roman"/>
          <w:sz w:val="32"/>
          <w:szCs w:val="32"/>
        </w:rPr>
        <w:t>租</w:t>
      </w:r>
      <w:r>
        <w:rPr>
          <w:rFonts w:hint="eastAsia" w:ascii="Times New Roman" w:hAnsi="Times New Roman"/>
          <w:sz w:val="32"/>
          <w:szCs w:val="32"/>
          <w:lang w:eastAsia="zh-CN"/>
        </w:rPr>
        <w:t>让</w:t>
      </w:r>
      <w:r>
        <w:rPr>
          <w:rFonts w:hint="eastAsia" w:ascii="Times New Roman" w:hAnsi="Times New Roman"/>
          <w:sz w:val="32"/>
          <w:szCs w:val="32"/>
        </w:rPr>
        <w:t>结合等供应方式，实行“出计合同</w:t>
      </w:r>
      <w:r>
        <w:rPr>
          <w:rFonts w:ascii="Times New Roman" w:hAnsi="Times New Roman"/>
          <w:sz w:val="32"/>
          <w:szCs w:val="32"/>
        </w:rPr>
        <w:t>+</w:t>
      </w:r>
      <w:r>
        <w:rPr>
          <w:rFonts w:hint="eastAsia" w:ascii="Times New Roman" w:hAnsi="Times New Roman"/>
          <w:sz w:val="32"/>
          <w:szCs w:val="32"/>
        </w:rPr>
        <w:t>投资发展监管协议”双重监管。多途径推进城镇低效用地再开发利用，鼓励国有企业盘活利用存量土地</w:t>
      </w:r>
      <w:r>
        <w:rPr>
          <w:rFonts w:hint="eastAsia" w:ascii="Times New Roman" w:hAnsi="Times New Roman"/>
          <w:sz w:val="32"/>
          <w:szCs w:val="32"/>
          <w:lang w:eastAsia="zh-CN"/>
        </w:rPr>
        <w:t>，</w:t>
      </w:r>
      <w:r>
        <w:rPr>
          <w:rFonts w:hint="eastAsia" w:ascii="Times New Roman" w:hAnsi="Times New Roman"/>
          <w:sz w:val="32"/>
          <w:szCs w:val="32"/>
        </w:rPr>
        <w:t>形成良好有序的资源利用局面。</w:t>
      </w:r>
      <w:r>
        <w:rPr>
          <w:rFonts w:hint="eastAsia" w:ascii="楷体_GB2312" w:hAnsi="Times New Roman" w:eastAsia="楷体_GB2312"/>
          <w:sz w:val="32"/>
          <w:szCs w:val="32"/>
          <w:lang w:eastAsia="zh-CN"/>
        </w:rPr>
        <w:t>（责任单位:县自然资源局）</w:t>
      </w:r>
    </w:p>
    <w:p w14:paraId="6E53553D">
      <w:pPr>
        <w:pStyle w:val="25"/>
        <w:overflowPunct w:val="0"/>
        <w:autoSpaceDN/>
        <w:spacing w:line="560" w:lineRule="exact"/>
        <w:ind w:firstLine="640" w:firstLineChars="200"/>
        <w:jc w:val="both"/>
        <w:rPr>
          <w:rFonts w:ascii="楷体_GB2312" w:hAnsi="Times New Roman" w:eastAsia="楷体_GB2312"/>
          <w:sz w:val="32"/>
          <w:szCs w:val="32"/>
          <w:lang w:eastAsia="zh-CN"/>
        </w:rPr>
      </w:pPr>
      <w:bookmarkStart w:id="30" w:name="bookmark66"/>
      <w:bookmarkEnd w:id="30"/>
      <w:r>
        <w:rPr>
          <w:rFonts w:hint="eastAsia" w:ascii="Times New Roman" w:hAnsi="Times New Roman" w:eastAsia="宋体"/>
          <w:sz w:val="32"/>
          <w:szCs w:val="32"/>
          <w:lang w:val="en-US" w:eastAsia="zh-CN"/>
        </w:rPr>
        <w:t>37</w:t>
      </w:r>
      <w:r>
        <w:rPr>
          <w:rFonts w:ascii="Times New Roman" w:hAnsi="Times New Roman"/>
          <w:sz w:val="32"/>
          <w:szCs w:val="32"/>
        </w:rPr>
        <w:t xml:space="preserve">. </w:t>
      </w:r>
      <w:r>
        <w:rPr>
          <w:rFonts w:hint="eastAsia" w:ascii="Times New Roman" w:hAnsi="Times New Roman"/>
          <w:sz w:val="32"/>
          <w:szCs w:val="32"/>
        </w:rPr>
        <w:t>加大市级重大项目建设推进力度，在地方政府承诺兑现排污总量指标来源、区域环境质量改善的前提下，可实施项目环评承诺制审批。</w:t>
      </w:r>
      <w:r>
        <w:rPr>
          <w:rFonts w:hint="eastAsia" w:ascii="楷体_GB2312" w:hAnsi="Times New Roman" w:eastAsia="楷体_GB2312"/>
          <w:sz w:val="32"/>
          <w:szCs w:val="32"/>
          <w:lang w:eastAsia="zh-CN"/>
        </w:rPr>
        <w:t>（责任单位：灌南生态环境局）</w:t>
      </w:r>
    </w:p>
    <w:p w14:paraId="1688AC93">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38</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用好“三区三线”划定成果，积极保障项目用地需求。</w:t>
      </w:r>
      <w:r>
        <w:rPr>
          <w:rFonts w:hint="eastAsia" w:ascii="楷体_GB2312" w:hAnsi="Times New Roman" w:eastAsia="楷体_GB2312"/>
          <w:sz w:val="32"/>
          <w:szCs w:val="32"/>
          <w:lang w:eastAsia="zh-CN"/>
        </w:rPr>
        <w:t>（责任单位：县自然资源局）</w:t>
      </w:r>
    </w:p>
    <w:p w14:paraId="0F5E6181">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39</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科学灵活使用林地定额，优化审核材料和流程并及时上报，对</w:t>
      </w:r>
      <w:r>
        <w:rPr>
          <w:rFonts w:hint="eastAsia" w:ascii="Times New Roman" w:hAnsi="Times New Roman"/>
          <w:sz w:val="32"/>
          <w:szCs w:val="32"/>
          <w:lang w:eastAsia="zh-CN"/>
        </w:rPr>
        <w:t>市</w:t>
      </w:r>
      <w:r>
        <w:rPr>
          <w:rFonts w:hint="eastAsia" w:ascii="Times New Roman" w:hAnsi="Times New Roman"/>
          <w:sz w:val="32"/>
          <w:szCs w:val="32"/>
        </w:rPr>
        <w:t>级重大项目有关材料采取容缺受理，确保用林手续尽快获批。</w:t>
      </w:r>
      <w:r>
        <w:rPr>
          <w:rFonts w:hint="eastAsia" w:ascii="楷体_GB2312" w:hAnsi="Times New Roman" w:eastAsia="楷体_GB2312"/>
          <w:sz w:val="32"/>
          <w:szCs w:val="32"/>
          <w:lang w:eastAsia="zh-CN"/>
        </w:rPr>
        <w:t>（</w:t>
      </w:r>
      <w:r>
        <w:rPr>
          <w:rFonts w:hint="eastAsia" w:ascii="楷体_GB2312" w:hAnsi="Times New Roman" w:eastAsia="楷体_GB2312"/>
          <w:sz w:val="32"/>
          <w:szCs w:val="32"/>
        </w:rPr>
        <w:t>责任单位</w:t>
      </w:r>
      <w:r>
        <w:rPr>
          <w:rFonts w:hint="eastAsia" w:ascii="楷体_GB2312" w:hAnsi="Times New Roman" w:eastAsia="楷体_GB2312"/>
          <w:sz w:val="32"/>
          <w:szCs w:val="32"/>
          <w:lang w:eastAsia="zh-CN"/>
        </w:rPr>
        <w:t>：</w:t>
      </w:r>
      <w:r>
        <w:rPr>
          <w:rFonts w:hint="eastAsia" w:ascii="楷体_GB2312" w:hAnsi="Times New Roman" w:eastAsia="楷体_GB2312"/>
          <w:sz w:val="32"/>
          <w:szCs w:val="32"/>
        </w:rPr>
        <w:t>县自然资源局</w:t>
      </w:r>
      <w:r>
        <w:rPr>
          <w:rFonts w:hint="eastAsia" w:ascii="楷体_GB2312" w:hAnsi="Times New Roman" w:eastAsia="楷体_GB2312"/>
          <w:sz w:val="32"/>
          <w:szCs w:val="32"/>
          <w:lang w:eastAsia="zh-CN"/>
        </w:rPr>
        <w:t>）</w:t>
      </w:r>
    </w:p>
    <w:p w14:paraId="0EAC6B84">
      <w:pPr>
        <w:pStyle w:val="25"/>
        <w:overflowPunct w:val="0"/>
        <w:autoSpaceDN/>
        <w:spacing w:line="560" w:lineRule="exact"/>
        <w:ind w:firstLine="640" w:firstLineChars="200"/>
        <w:jc w:val="both"/>
        <w:rPr>
          <w:rFonts w:ascii="楷体_GB2312" w:hAnsi="Times New Roman" w:eastAsia="楷体_GB2312"/>
          <w:sz w:val="32"/>
          <w:szCs w:val="32"/>
          <w:lang w:eastAsia="zh-CN"/>
        </w:rPr>
      </w:pPr>
      <w:r>
        <w:rPr>
          <w:rFonts w:hint="eastAsia" w:ascii="Times New Roman" w:hAnsi="Times New Roman" w:eastAsia="宋体"/>
          <w:sz w:val="32"/>
          <w:szCs w:val="32"/>
          <w:lang w:val="en-US" w:eastAsia="zh-CN"/>
        </w:rPr>
        <w:t>40</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建立重大项目“预先申报、优先受理、重点保障”绿色通道机制，对纳入市级重大项目清单的项目，保障土地利用计划指标。</w:t>
      </w:r>
      <w:r>
        <w:rPr>
          <w:rFonts w:hint="eastAsia" w:ascii="楷体_GB2312" w:hAnsi="Times New Roman" w:eastAsia="楷体_GB2312"/>
          <w:sz w:val="32"/>
          <w:szCs w:val="32"/>
          <w:lang w:eastAsia="zh-CN"/>
        </w:rPr>
        <w:t>（</w:t>
      </w:r>
      <w:r>
        <w:rPr>
          <w:rFonts w:hint="eastAsia" w:ascii="楷体_GB2312" w:hAnsi="Times New Roman" w:eastAsia="楷体_GB2312"/>
          <w:sz w:val="32"/>
          <w:szCs w:val="32"/>
        </w:rPr>
        <w:t>责任单位:县自然资源局</w:t>
      </w:r>
      <w:r>
        <w:rPr>
          <w:rFonts w:hint="eastAsia" w:ascii="楷体_GB2312" w:hAnsi="Times New Roman" w:eastAsia="楷体_GB2312"/>
          <w:sz w:val="32"/>
          <w:szCs w:val="32"/>
          <w:lang w:eastAsia="zh-CN"/>
        </w:rPr>
        <w:t>）</w:t>
      </w:r>
    </w:p>
    <w:p w14:paraId="1ABE03D9">
      <w:pPr>
        <w:pStyle w:val="25"/>
        <w:overflowPunct w:val="0"/>
        <w:autoSpaceDN/>
        <w:spacing w:line="560" w:lineRule="exact"/>
        <w:ind w:firstLine="640" w:firstLineChars="200"/>
        <w:jc w:val="both"/>
        <w:rPr>
          <w:rFonts w:ascii="楷体_GB2312" w:hAnsi="Times New Roman" w:eastAsia="楷体_GB2312"/>
          <w:sz w:val="32"/>
          <w:szCs w:val="32"/>
        </w:rPr>
      </w:pPr>
      <w:r>
        <w:rPr>
          <w:rFonts w:hint="eastAsia" w:ascii="Times New Roman" w:hAnsi="Times New Roman" w:eastAsia="宋体"/>
          <w:sz w:val="32"/>
          <w:szCs w:val="32"/>
          <w:lang w:val="en-US" w:eastAsia="zh-CN"/>
        </w:rPr>
        <w:t>41</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rPr>
        <w:t>在属于产业政策鼓励类、清洁生产达到一级水平、污染物排放达到相应行业超低排放标准</w:t>
      </w:r>
      <w:r>
        <w:rPr>
          <w:rFonts w:hint="eastAsia" w:ascii="Times New Roman" w:hAnsi="Times New Roman"/>
          <w:sz w:val="32"/>
          <w:szCs w:val="32"/>
          <w:lang w:eastAsia="zh-CN"/>
        </w:rPr>
        <w:t>、</w:t>
      </w:r>
      <w:r>
        <w:rPr>
          <w:rFonts w:hint="eastAsia" w:ascii="Times New Roman" w:hAnsi="Times New Roman"/>
          <w:sz w:val="32"/>
          <w:szCs w:val="32"/>
        </w:rPr>
        <w:t>符合“三线一单”等环境准入相关条件下，市级重大项目排污总量指标不足部分，可以按程序上报全市储备库储备的排放量指标予以解决。</w:t>
      </w:r>
      <w:r>
        <w:rPr>
          <w:rFonts w:hint="eastAsia" w:ascii="楷体_GB2312" w:hAnsi="Times New Roman" w:eastAsia="楷体_GB2312"/>
          <w:sz w:val="32"/>
          <w:szCs w:val="32"/>
        </w:rPr>
        <w:t>（责任单位：</w:t>
      </w:r>
      <w:r>
        <w:rPr>
          <w:rFonts w:hint="eastAsia" w:ascii="楷体_GB2312" w:hAnsi="Times New Roman" w:eastAsia="楷体_GB2312"/>
          <w:sz w:val="32"/>
          <w:szCs w:val="32"/>
          <w:lang w:eastAsia="zh-CN"/>
        </w:rPr>
        <w:t>灌南</w:t>
      </w:r>
      <w:r>
        <w:rPr>
          <w:rFonts w:hint="eastAsia" w:ascii="楷体_GB2312" w:hAnsi="Times New Roman" w:eastAsia="楷体_GB2312"/>
          <w:sz w:val="32"/>
          <w:szCs w:val="32"/>
        </w:rPr>
        <w:t>生态环境局）</w:t>
      </w:r>
    </w:p>
    <w:p w14:paraId="300A69E9">
      <w:pPr>
        <w:pStyle w:val="25"/>
        <w:overflowPunct w:val="0"/>
        <w:autoSpaceDN/>
        <w:spacing w:line="560" w:lineRule="exact"/>
        <w:ind w:firstLine="640" w:firstLineChars="200"/>
        <w:jc w:val="both"/>
        <w:rPr>
          <w:rFonts w:ascii="楷体_GB2312" w:hAnsi="Times New Roman" w:eastAsia="楷体_GB2312"/>
          <w:bCs/>
          <w:sz w:val="32"/>
          <w:szCs w:val="32"/>
          <w:lang w:eastAsia="zh-CN"/>
        </w:rPr>
      </w:pPr>
      <w:r>
        <w:rPr>
          <w:rFonts w:hint="eastAsia" w:ascii="Times New Roman" w:hAnsi="Times New Roman" w:eastAsia="宋体"/>
          <w:sz w:val="32"/>
          <w:szCs w:val="32"/>
          <w:lang w:val="en-US" w:eastAsia="zh-CN"/>
        </w:rPr>
        <w:t>42</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将符合条件的交通、能源、水利等基础设施项目纳入国土空间规划重点建设项目清单，保障新增建设用地空间</w:t>
      </w:r>
      <w:r>
        <w:rPr>
          <w:rFonts w:hint="eastAsia" w:ascii="Times New Roman" w:hAnsi="Times New Roman"/>
          <w:sz w:val="32"/>
          <w:szCs w:val="32"/>
          <w:lang w:eastAsia="zh-CN"/>
        </w:rPr>
        <w:t>。</w:t>
      </w:r>
      <w:r>
        <w:rPr>
          <w:rFonts w:hint="eastAsia" w:ascii="Times New Roman" w:hAnsi="Times New Roman"/>
          <w:sz w:val="32"/>
          <w:szCs w:val="32"/>
        </w:rPr>
        <w:t>在国土空间总体规划批复前</w:t>
      </w:r>
      <w:r>
        <w:rPr>
          <w:rFonts w:hint="eastAsia" w:ascii="Times New Roman" w:hAnsi="Times New Roman"/>
          <w:sz w:val="32"/>
          <w:szCs w:val="32"/>
          <w:lang w:eastAsia="zh-CN"/>
        </w:rPr>
        <w:t>，</w:t>
      </w:r>
      <w:r>
        <w:rPr>
          <w:rFonts w:hint="eastAsia" w:ascii="Times New Roman" w:hAnsi="Times New Roman"/>
          <w:sz w:val="32"/>
          <w:szCs w:val="32"/>
        </w:rPr>
        <w:t>统筹预支不超过</w:t>
      </w:r>
      <w:r>
        <w:rPr>
          <w:rFonts w:ascii="Times New Roman" w:hAnsi="Times New Roman"/>
          <w:sz w:val="32"/>
          <w:szCs w:val="32"/>
        </w:rPr>
        <w:t>15%</w:t>
      </w:r>
      <w:r>
        <w:rPr>
          <w:rFonts w:hint="eastAsia" w:ascii="Times New Roman" w:hAnsi="Times New Roman"/>
          <w:sz w:val="32"/>
          <w:szCs w:val="32"/>
        </w:rPr>
        <w:t>的国士空间规划新增建设用地规模</w:t>
      </w:r>
      <w:r>
        <w:rPr>
          <w:rFonts w:hint="eastAsia" w:ascii="Times New Roman" w:hAnsi="Times New Roman"/>
          <w:sz w:val="32"/>
          <w:szCs w:val="32"/>
          <w:lang w:eastAsia="zh-CN"/>
        </w:rPr>
        <w:t>，</w:t>
      </w:r>
      <w:r>
        <w:rPr>
          <w:rFonts w:hint="eastAsia" w:ascii="Times New Roman" w:hAnsi="Times New Roman"/>
          <w:sz w:val="32"/>
          <w:szCs w:val="32"/>
        </w:rPr>
        <w:t>按需编制</w:t>
      </w:r>
      <w:r>
        <w:rPr>
          <w:rFonts w:ascii="Times New Roman" w:hAnsi="Times New Roman"/>
          <w:sz w:val="32"/>
          <w:szCs w:val="32"/>
        </w:rPr>
        <w:t>2023</w:t>
      </w:r>
      <w:r>
        <w:rPr>
          <w:rFonts w:hint="eastAsia" w:ascii="Times New Roman" w:hAnsi="Times New Roman"/>
          <w:sz w:val="32"/>
          <w:szCs w:val="32"/>
        </w:rPr>
        <w:t>年度空间规模指标落地上图方案，保障重大项目建设发展空间。</w:t>
      </w:r>
      <w:r>
        <w:rPr>
          <w:rFonts w:hint="eastAsia" w:ascii="楷体_GB2312" w:hAnsi="Times New Roman" w:eastAsia="楷体_GB2312"/>
          <w:bCs/>
          <w:sz w:val="32"/>
          <w:szCs w:val="32"/>
          <w:lang w:eastAsia="zh-CN"/>
        </w:rPr>
        <w:t>（</w:t>
      </w:r>
      <w:r>
        <w:rPr>
          <w:rFonts w:hint="eastAsia" w:ascii="楷体_GB2312" w:hAnsi="Times New Roman" w:eastAsia="楷体_GB2312"/>
          <w:bCs/>
          <w:kern w:val="2"/>
          <w:sz w:val="32"/>
          <w:szCs w:val="32"/>
          <w:lang w:val="en-US" w:eastAsia="zh-CN"/>
        </w:rPr>
        <w:t>责任单位：县自然资源局</w:t>
      </w:r>
      <w:r>
        <w:rPr>
          <w:rFonts w:hint="eastAsia" w:ascii="楷体_GB2312" w:hAnsi="Times New Roman" w:eastAsia="楷体_GB2312"/>
          <w:bCs/>
          <w:sz w:val="32"/>
          <w:szCs w:val="32"/>
          <w:lang w:eastAsia="zh-CN"/>
        </w:rPr>
        <w:t>）</w:t>
      </w:r>
    </w:p>
    <w:p w14:paraId="2C0105FB">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43</w:t>
      </w:r>
      <w:r>
        <w:rPr>
          <w:rFonts w:ascii="Times New Roman" w:hAnsi="Times New Roman"/>
          <w:sz w:val="32"/>
          <w:szCs w:val="32"/>
        </w:rPr>
        <w:t>.</w:t>
      </w:r>
      <w:r>
        <w:rPr>
          <w:rFonts w:ascii="Times New Roman" w:hAnsi="Times New Roman"/>
          <w:sz w:val="32"/>
          <w:szCs w:val="32"/>
          <w:lang w:val="en-US" w:eastAsia="zh-CN"/>
        </w:rPr>
        <w:t xml:space="preserve"> </w:t>
      </w:r>
      <w:r>
        <w:rPr>
          <w:rFonts w:hint="eastAsia" w:ascii="Times New Roman" w:hAnsi="Times New Roman"/>
          <w:sz w:val="32"/>
          <w:szCs w:val="32"/>
        </w:rPr>
        <w:t>强化市县重大项目资本金配套，支持符合条件的项目更多申请政府专项债券作为资本金。支持公路、城建等领域补短板基础设施项目在投资回报机制明确、收益可靠、风险可控的前提下，按照国家相关规定适当下调项目资本金比例。</w:t>
      </w:r>
      <w:r>
        <w:rPr>
          <w:rFonts w:hint="eastAsia" w:ascii="楷体_GB2312" w:hAnsi="Times New Roman" w:eastAsia="楷体_GB2312"/>
          <w:kern w:val="2"/>
          <w:sz w:val="32"/>
          <w:szCs w:val="32"/>
          <w:lang w:val="en-US" w:eastAsia="zh-CN"/>
        </w:rPr>
        <w:t>（责任单位：县财政局、县发改委）</w:t>
      </w:r>
    </w:p>
    <w:p w14:paraId="17DFC252">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44</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鼓励项目法人和项目投资方积极争取国家结构性金融工具，通过发行权益类、股权类金融工具等，多渠道规范筹措项目资本金。</w:t>
      </w:r>
      <w:r>
        <w:rPr>
          <w:rFonts w:hint="eastAsia" w:ascii="楷体_GB2312" w:hAnsi="Times New Roman" w:eastAsia="楷体_GB2312"/>
          <w:kern w:val="2"/>
          <w:sz w:val="32"/>
          <w:szCs w:val="32"/>
          <w:lang w:val="en-US" w:eastAsia="zh-CN"/>
        </w:rPr>
        <w:t>（责任单位：县金融办、县发改委）</w:t>
      </w:r>
    </w:p>
    <w:p w14:paraId="1F833971">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八、促进外贸外资稳中提质</w:t>
      </w:r>
      <w:bookmarkStart w:id="31" w:name="bookmark67"/>
      <w:bookmarkEnd w:id="31"/>
    </w:p>
    <w:p w14:paraId="59DE49B0">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45</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加快出口退税进度，办理正常出口退税的平均时间压缩至</w:t>
      </w:r>
      <w:r>
        <w:rPr>
          <w:rFonts w:ascii="Times New Roman" w:hAnsi="Times New Roman"/>
          <w:sz w:val="32"/>
          <w:szCs w:val="32"/>
          <w:lang w:eastAsia="zh-CN"/>
        </w:rPr>
        <w:t>3</w:t>
      </w:r>
      <w:r>
        <w:rPr>
          <w:rFonts w:hint="eastAsia" w:ascii="Times New Roman" w:hAnsi="Times New Roman"/>
          <w:sz w:val="32"/>
          <w:szCs w:val="32"/>
          <w:lang w:eastAsia="zh-CN"/>
        </w:rPr>
        <w:t>个工作日以内。</w:t>
      </w:r>
      <w:r>
        <w:rPr>
          <w:rFonts w:hint="eastAsia" w:ascii="楷体_GB2312" w:hAnsi="Times New Roman" w:eastAsia="楷体_GB2312"/>
          <w:kern w:val="2"/>
          <w:sz w:val="32"/>
          <w:szCs w:val="32"/>
          <w:lang w:val="en-US" w:eastAsia="zh-CN"/>
        </w:rPr>
        <w:t>（责任单位：县税务局、县财政局）</w:t>
      </w:r>
    </w:p>
    <w:p w14:paraId="6C585812">
      <w:pPr>
        <w:pStyle w:val="25"/>
        <w:tabs>
          <w:tab w:val="left" w:pos="1178"/>
        </w:tabs>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46</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加大“苏贸贷”宣传推广力度，精准满足外贸企业融资需求。</w:t>
      </w:r>
      <w:r>
        <w:rPr>
          <w:rFonts w:hint="eastAsia" w:ascii="楷体_GB2312" w:hAnsi="Times New Roman" w:eastAsia="楷体_GB2312"/>
          <w:kern w:val="2"/>
          <w:sz w:val="32"/>
          <w:szCs w:val="32"/>
          <w:lang w:val="en-US" w:eastAsia="zh-CN"/>
        </w:rPr>
        <w:t>（责任单位：县商务局、县财政局）</w:t>
      </w:r>
    </w:p>
    <w:p w14:paraId="2E49C0DF">
      <w:pPr>
        <w:pStyle w:val="25"/>
        <w:tabs>
          <w:tab w:val="left" w:pos="1178"/>
        </w:tabs>
        <w:overflowPunct w:val="0"/>
        <w:autoSpaceDN/>
        <w:spacing w:line="560" w:lineRule="exact"/>
        <w:ind w:firstLine="640" w:firstLineChars="200"/>
        <w:jc w:val="both"/>
        <w:rPr>
          <w:rFonts w:ascii="Times New Roman" w:hAnsi="Times New Roman"/>
          <w:b/>
          <w:kern w:val="2"/>
          <w:sz w:val="32"/>
          <w:szCs w:val="32"/>
          <w:lang w:val="en-US" w:eastAsia="zh-CN"/>
        </w:rPr>
      </w:pPr>
      <w:r>
        <w:rPr>
          <w:rFonts w:hint="eastAsia" w:ascii="Times New Roman" w:hAnsi="Times New Roman" w:eastAsia="宋体"/>
          <w:sz w:val="32"/>
          <w:szCs w:val="32"/>
          <w:lang w:val="en-US" w:eastAsia="zh-CN"/>
        </w:rPr>
        <w:t>47</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推动优质企业贸易外汇收支便利化政策提质增效，支持银行为外贸新业态、新模式提供安全高效低成本的资金结算服务。支持高新技术和专精特新企业开展跨境融资便利化试点。丰富跨境金融服务平台应用场景，助力优化中小微企业融资环境。加大汇率避险服务的有效供给，强化中小微企业、贸易新业态的汇率避险扶持。</w:t>
      </w:r>
      <w:r>
        <w:rPr>
          <w:rFonts w:hint="eastAsia" w:ascii="楷体_GB2312" w:hAnsi="Times New Roman" w:eastAsia="楷体_GB2312"/>
          <w:kern w:val="2"/>
          <w:sz w:val="32"/>
          <w:szCs w:val="32"/>
          <w:lang w:val="en-US" w:eastAsia="zh-CN"/>
        </w:rPr>
        <w:t>（责任单位：人行灌南县支行）</w:t>
      </w:r>
    </w:p>
    <w:p w14:paraId="7BDE7A4D">
      <w:pPr>
        <w:pStyle w:val="25"/>
        <w:tabs>
          <w:tab w:val="left" w:pos="1178"/>
        </w:tabs>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48</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加强对重点外资项目的调度服务，推动全县更多项目纳入省市级重点外资项目库。积极邀请外籍高管来灌开展投资洽谈，深入开展二次招商，推进招商引资、以商引商。</w:t>
      </w:r>
      <w:r>
        <w:rPr>
          <w:rFonts w:hint="eastAsia" w:ascii="楷体_GB2312" w:hAnsi="Times New Roman" w:eastAsia="楷体_GB2312"/>
          <w:kern w:val="2"/>
          <w:sz w:val="32"/>
          <w:szCs w:val="32"/>
          <w:lang w:val="en-US" w:eastAsia="zh-CN"/>
        </w:rPr>
        <w:t>（责任单位：县商务局、县发改委、县外办）</w:t>
      </w:r>
    </w:p>
    <w:p w14:paraId="1366BF28">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bookmarkStart w:id="32" w:name="bookmark72"/>
      <w:bookmarkEnd w:id="32"/>
      <w:r>
        <w:rPr>
          <w:rFonts w:hint="eastAsia" w:ascii="Times New Roman" w:hAnsi="Times New Roman" w:eastAsia="黑体" w:cs="Times New Roman"/>
          <w:sz w:val="32"/>
          <w:szCs w:val="32"/>
          <w:lang w:eastAsia="zh-CN"/>
        </w:rPr>
        <w:t>九、促进房地产市场平稳健康发展</w:t>
      </w:r>
      <w:bookmarkStart w:id="33" w:name="bookmark75"/>
      <w:bookmarkEnd w:id="33"/>
    </w:p>
    <w:p w14:paraId="0589A548">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49</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用足用好房地产调控政策工具箱，调整优化限制性政策和土地出让政策，大力支持刚性和改善性购房需求，坚持“房住不炒”，认真落实居民个人换购住房个人所得税政策。完善征收拆迁安置补偿方式，优化商品房价格备案制度。</w:t>
      </w:r>
      <w:r>
        <w:rPr>
          <w:rFonts w:hint="eastAsia" w:ascii="楷体_GB2312" w:hAnsi="Times New Roman" w:eastAsia="楷体_GB2312"/>
          <w:kern w:val="2"/>
          <w:sz w:val="32"/>
          <w:szCs w:val="32"/>
          <w:lang w:val="en-US" w:eastAsia="zh-CN"/>
        </w:rPr>
        <w:t>（责任单位：县住建局、县自然资源局、县税务局、县财政局、县发改委）</w:t>
      </w:r>
      <w:bookmarkStart w:id="34" w:name="bookmark76"/>
      <w:bookmarkEnd w:id="34"/>
    </w:p>
    <w:p w14:paraId="614DA968">
      <w:pPr>
        <w:pStyle w:val="25"/>
        <w:tabs>
          <w:tab w:val="left" w:pos="1178"/>
        </w:tabs>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50</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支持符合国家生育政策的多子女家庭改善住房条件，借款人单方缴存住房公积金的二孩家庭最高贷款额度提高到</w:t>
      </w:r>
      <w:r>
        <w:rPr>
          <w:rFonts w:ascii="Times New Roman" w:hAnsi="Times New Roman"/>
          <w:sz w:val="32"/>
          <w:szCs w:val="32"/>
          <w:lang w:eastAsia="zh-CN"/>
        </w:rPr>
        <w:t>40</w:t>
      </w:r>
      <w:r>
        <w:rPr>
          <w:rFonts w:hint="eastAsia" w:ascii="Times New Roman" w:hAnsi="Times New Roman"/>
          <w:sz w:val="32"/>
          <w:szCs w:val="32"/>
          <w:lang w:eastAsia="zh-CN"/>
        </w:rPr>
        <w:t>万元，借款人双方缴存公积金的最高贷款额度提高到</w:t>
      </w:r>
      <w:r>
        <w:rPr>
          <w:rFonts w:ascii="Times New Roman" w:hAnsi="Times New Roman"/>
          <w:sz w:val="32"/>
          <w:szCs w:val="32"/>
          <w:lang w:eastAsia="zh-CN"/>
        </w:rPr>
        <w:t>80</w:t>
      </w:r>
      <w:r>
        <w:rPr>
          <w:rFonts w:hint="eastAsia" w:ascii="Times New Roman" w:hAnsi="Times New Roman"/>
          <w:sz w:val="32"/>
          <w:szCs w:val="32"/>
          <w:lang w:eastAsia="zh-CN"/>
        </w:rPr>
        <w:t>万元；借款人单方缴存住房公积金的三孩家庭最高贷款额度提高到</w:t>
      </w:r>
      <w:r>
        <w:rPr>
          <w:rFonts w:ascii="Times New Roman" w:hAnsi="Times New Roman"/>
          <w:sz w:val="32"/>
          <w:szCs w:val="32"/>
          <w:lang w:eastAsia="zh-CN"/>
        </w:rPr>
        <w:t>45</w:t>
      </w:r>
      <w:r>
        <w:rPr>
          <w:rFonts w:hint="eastAsia" w:ascii="Times New Roman" w:hAnsi="Times New Roman"/>
          <w:sz w:val="32"/>
          <w:szCs w:val="32"/>
          <w:lang w:eastAsia="zh-CN"/>
        </w:rPr>
        <w:t>万元，借款人双方缴存公积金的最高贷款额度提高到</w:t>
      </w:r>
      <w:r>
        <w:rPr>
          <w:rFonts w:ascii="Times New Roman" w:hAnsi="Times New Roman"/>
          <w:sz w:val="32"/>
          <w:szCs w:val="32"/>
          <w:lang w:eastAsia="zh-CN"/>
        </w:rPr>
        <w:t>90</w:t>
      </w:r>
      <w:r>
        <w:rPr>
          <w:rFonts w:hint="eastAsia" w:ascii="Times New Roman" w:hAnsi="Times New Roman"/>
          <w:sz w:val="32"/>
          <w:szCs w:val="32"/>
          <w:lang w:eastAsia="zh-CN"/>
        </w:rPr>
        <w:t>万元。</w:t>
      </w:r>
      <w:r>
        <w:rPr>
          <w:rFonts w:hint="eastAsia" w:ascii="楷体_GB2312" w:hAnsi="Times New Roman" w:eastAsia="楷体_GB2312"/>
          <w:kern w:val="2"/>
          <w:sz w:val="32"/>
          <w:szCs w:val="32"/>
          <w:lang w:val="en-US" w:eastAsia="zh-CN"/>
        </w:rPr>
        <w:t>（责任单位：县住房公积金管理中心）</w:t>
      </w:r>
    </w:p>
    <w:p w14:paraId="7AFAAE17">
      <w:pPr>
        <w:pStyle w:val="25"/>
        <w:tabs>
          <w:tab w:val="left" w:pos="1178"/>
        </w:tabs>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51</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支持房地产业合理融资需求，加大建筑业金融支持力度，重点推进支持开发贷款、信托贷款等存量融资合理展期政策落地见效。</w:t>
      </w:r>
      <w:r>
        <w:rPr>
          <w:rFonts w:hint="eastAsia" w:ascii="楷体_GB2312" w:hAnsi="Times New Roman" w:eastAsia="楷体_GB2312"/>
          <w:kern w:val="2"/>
          <w:sz w:val="32"/>
          <w:szCs w:val="32"/>
          <w:lang w:val="en-US" w:eastAsia="zh-CN"/>
        </w:rPr>
        <w:t>（责任单位：人行灌南县支行、县住建局）</w:t>
      </w:r>
    </w:p>
    <w:p w14:paraId="2C0E789C">
      <w:pPr>
        <w:pStyle w:val="25"/>
        <w:tabs>
          <w:tab w:val="left" w:pos="1178"/>
        </w:tabs>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52</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优化调整商品房预售资金监管政策，在保障商品房预售资金使用安全和项目正常交付的前提下，合理释放监管额度内的资金，促进房地产企业加快资金回笼。</w:t>
      </w:r>
      <w:r>
        <w:rPr>
          <w:rFonts w:hint="eastAsia" w:ascii="楷体_GB2312" w:hAnsi="Times New Roman" w:eastAsia="楷体_GB2312"/>
          <w:kern w:val="2"/>
          <w:sz w:val="32"/>
          <w:szCs w:val="32"/>
          <w:lang w:val="en-US" w:eastAsia="zh-CN"/>
        </w:rPr>
        <w:t>（责任单位：县住建局、人行灌南县支行）</w:t>
      </w:r>
    </w:p>
    <w:p w14:paraId="2392EAE0">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十、着力提升医疗保障能力</w:t>
      </w:r>
      <w:bookmarkStart w:id="35" w:name="bookmark79"/>
      <w:bookmarkEnd w:id="35"/>
    </w:p>
    <w:p w14:paraId="6E960872">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53</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新型冠状病毒感染患者在所有收治医疗机构发生、符合卫生健康部门制定的新型冠状病毒感染治疗方案的住院医疗费用，在基本医保、大病医保、医疗救助等按规定支付后，个人负担部分由财政给予补助，该政策先行执行至</w:t>
      </w:r>
      <w:r>
        <w:rPr>
          <w:rFonts w:ascii="Times New Roman" w:hAnsi="Times New Roman"/>
          <w:sz w:val="32"/>
          <w:szCs w:val="32"/>
          <w:lang w:eastAsia="zh-CN"/>
        </w:rPr>
        <w:t>2023</w:t>
      </w:r>
      <w:r>
        <w:rPr>
          <w:rFonts w:hint="eastAsia" w:ascii="Times New Roman" w:hAnsi="Times New Roman"/>
          <w:sz w:val="32"/>
          <w:szCs w:val="32"/>
          <w:lang w:eastAsia="zh-CN"/>
        </w:rPr>
        <w:t>年</w:t>
      </w:r>
      <w:r>
        <w:rPr>
          <w:rFonts w:ascii="Times New Roman" w:hAnsi="Times New Roman"/>
          <w:sz w:val="32"/>
          <w:szCs w:val="32"/>
          <w:lang w:eastAsia="zh-CN"/>
        </w:rPr>
        <w:t>3</w:t>
      </w:r>
      <w:r>
        <w:rPr>
          <w:rFonts w:hint="eastAsia" w:ascii="Times New Roman" w:hAnsi="Times New Roman"/>
          <w:sz w:val="32"/>
          <w:szCs w:val="32"/>
          <w:lang w:eastAsia="zh-CN"/>
        </w:rPr>
        <w:t>月</w:t>
      </w:r>
      <w:r>
        <w:rPr>
          <w:rFonts w:ascii="Times New Roman" w:hAnsi="Times New Roman"/>
          <w:sz w:val="32"/>
          <w:szCs w:val="32"/>
          <w:lang w:eastAsia="zh-CN"/>
        </w:rPr>
        <w:t>31</w:t>
      </w:r>
      <w:r>
        <w:rPr>
          <w:rFonts w:hint="eastAsia" w:ascii="Times New Roman" w:hAnsi="Times New Roman"/>
          <w:sz w:val="32"/>
          <w:szCs w:val="32"/>
          <w:lang w:eastAsia="zh-CN"/>
        </w:rPr>
        <w:t>日。</w:t>
      </w:r>
      <w:r>
        <w:rPr>
          <w:rFonts w:hint="eastAsia" w:ascii="楷体_GB2312" w:hAnsi="Times New Roman" w:eastAsia="楷体_GB2312"/>
          <w:kern w:val="2"/>
          <w:sz w:val="32"/>
          <w:szCs w:val="32"/>
          <w:lang w:val="en-US" w:eastAsia="zh-CN"/>
        </w:rPr>
        <w:t>（责任单位：县医保局、县卫健委、县财政局）</w:t>
      </w:r>
      <w:bookmarkStart w:id="36" w:name="bookmark80"/>
      <w:bookmarkEnd w:id="36"/>
    </w:p>
    <w:p w14:paraId="73B7945A">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54</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加大医保对农村地区、城市社区等基层医疗机构（二级及以下医疗机构）倾斜支持力度，对在基层医保定点医疗机构发生的新型冠状病毒感染及疑似症状参保患者门急诊费用实施专项保障。鼓励基层医疗机构配足医保药品目录内（含临时增补）的新型冠状病毒感染治疗药物，参保患者在基层医保定点医疗机构发生的与新型冠状病毒感染救治有关的门急诊费用，医保基金支付不设起付线、报销限额，报销比例不低于</w:t>
      </w:r>
      <w:r>
        <w:rPr>
          <w:rFonts w:ascii="Times New Roman" w:hAnsi="Times New Roman"/>
          <w:sz w:val="32"/>
          <w:szCs w:val="32"/>
          <w:lang w:eastAsia="zh-CN"/>
        </w:rPr>
        <w:t>75%</w:t>
      </w:r>
      <w:r>
        <w:rPr>
          <w:rFonts w:hint="eastAsia" w:ascii="Times New Roman" w:hAnsi="Times New Roman"/>
          <w:sz w:val="32"/>
          <w:szCs w:val="32"/>
          <w:lang w:eastAsia="zh-CN"/>
        </w:rPr>
        <w:t>，该政策先行执行至</w:t>
      </w:r>
      <w:r>
        <w:rPr>
          <w:rFonts w:ascii="Times New Roman" w:hAnsi="Times New Roman"/>
          <w:sz w:val="32"/>
          <w:szCs w:val="32"/>
          <w:lang w:eastAsia="zh-CN"/>
        </w:rPr>
        <w:t>2023</w:t>
      </w:r>
      <w:r>
        <w:rPr>
          <w:rFonts w:hint="eastAsia" w:ascii="Times New Roman" w:hAnsi="Times New Roman"/>
          <w:sz w:val="32"/>
          <w:szCs w:val="32"/>
          <w:lang w:eastAsia="zh-CN"/>
        </w:rPr>
        <w:t>年</w:t>
      </w:r>
      <w:r>
        <w:rPr>
          <w:rFonts w:ascii="Times New Roman" w:hAnsi="Times New Roman"/>
          <w:sz w:val="32"/>
          <w:szCs w:val="32"/>
          <w:lang w:eastAsia="zh-CN"/>
        </w:rPr>
        <w:t>3</w:t>
      </w:r>
      <w:r>
        <w:rPr>
          <w:rFonts w:hint="eastAsia" w:ascii="Times New Roman" w:hAnsi="Times New Roman"/>
          <w:sz w:val="32"/>
          <w:szCs w:val="32"/>
          <w:lang w:eastAsia="zh-CN"/>
        </w:rPr>
        <w:t>月</w:t>
      </w:r>
      <w:r>
        <w:rPr>
          <w:rFonts w:ascii="Times New Roman" w:hAnsi="Times New Roman"/>
          <w:sz w:val="32"/>
          <w:szCs w:val="32"/>
          <w:lang w:eastAsia="zh-CN"/>
        </w:rPr>
        <w:t>31</w:t>
      </w:r>
      <w:r>
        <w:rPr>
          <w:rFonts w:hint="eastAsia" w:ascii="Times New Roman" w:hAnsi="Times New Roman"/>
          <w:sz w:val="32"/>
          <w:szCs w:val="32"/>
          <w:lang w:eastAsia="zh-CN"/>
        </w:rPr>
        <w:t>日。</w:t>
      </w:r>
      <w:r>
        <w:rPr>
          <w:rFonts w:hint="eastAsia" w:ascii="楷体_GB2312" w:hAnsi="Times New Roman" w:eastAsia="楷体_GB2312"/>
          <w:kern w:val="2"/>
          <w:sz w:val="32"/>
          <w:szCs w:val="32"/>
          <w:lang w:val="en-US" w:eastAsia="zh-CN"/>
        </w:rPr>
        <w:t>（责任单位：县医保局、县卫健委、县财政局）</w:t>
      </w:r>
      <w:bookmarkStart w:id="37" w:name="bookmark81"/>
      <w:bookmarkEnd w:id="37"/>
    </w:p>
    <w:p w14:paraId="23F078E5">
      <w:pPr>
        <w:pStyle w:val="25"/>
        <w:overflowPunct w:val="0"/>
        <w:autoSpaceDN/>
        <w:spacing w:line="560" w:lineRule="exact"/>
        <w:ind w:firstLine="640" w:firstLineChars="200"/>
        <w:jc w:val="both"/>
        <w:rPr>
          <w:rFonts w:ascii="Times New Roman" w:hAnsi="黑体" w:eastAsia="黑体"/>
          <w:sz w:val="32"/>
          <w:szCs w:val="32"/>
        </w:rPr>
      </w:pPr>
      <w:r>
        <w:rPr>
          <w:rFonts w:hint="eastAsia" w:ascii="Times New Roman" w:hAnsi="Times New Roman" w:eastAsia="宋体"/>
          <w:sz w:val="32"/>
          <w:szCs w:val="32"/>
          <w:lang w:val="en-US" w:eastAsia="zh-CN"/>
        </w:rPr>
        <w:t>55</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我县参保患者在异地具备条件的联网医院发生的住院、门急诊费用统一纳入联网直接结算。暂不具备条件的，参保患者可持相关门诊费用票据到参保地医保经办机构申请人工报销，统一执行参保地新型冠状病毒感染及疑似症状患者门急诊专项保障政策。</w:t>
      </w:r>
      <w:r>
        <w:rPr>
          <w:rFonts w:hint="eastAsia" w:ascii="楷体_GB2312" w:hAnsi="Times New Roman" w:eastAsia="楷体_GB2312"/>
          <w:kern w:val="2"/>
          <w:sz w:val="32"/>
          <w:szCs w:val="32"/>
          <w:lang w:val="en-US" w:eastAsia="zh-CN"/>
        </w:rPr>
        <w:t>（责任单位：县医保局、县卫健委、县财政局）</w:t>
      </w:r>
    </w:p>
    <w:p w14:paraId="2311A774">
      <w:pPr>
        <w:pStyle w:val="25"/>
        <w:overflowPunct w:val="0"/>
        <w:autoSpaceDN/>
        <w:spacing w:line="560" w:lineRule="exact"/>
        <w:ind w:firstLine="640" w:firstLineChars="200"/>
        <w:jc w:val="both"/>
        <w:rPr>
          <w:rFonts w:ascii="Times New Roman" w:hAnsi="Times New Roman" w:eastAsia="黑体" w:cs="Times New Roman"/>
          <w:sz w:val="32"/>
          <w:szCs w:val="32"/>
          <w:lang w:eastAsia="zh-CN"/>
        </w:rPr>
      </w:pPr>
      <w:bookmarkStart w:id="38" w:name="bookmark82"/>
      <w:bookmarkEnd w:id="38"/>
      <w:r>
        <w:rPr>
          <w:rFonts w:hint="eastAsia" w:ascii="Times New Roman" w:hAnsi="Times New Roman" w:eastAsia="黑体" w:cs="Times New Roman"/>
          <w:sz w:val="32"/>
          <w:szCs w:val="32"/>
          <w:lang w:eastAsia="zh-CN"/>
        </w:rPr>
        <w:t>十一、优化提升政府服务</w:t>
      </w:r>
      <w:bookmarkStart w:id="39" w:name="bookmark83"/>
      <w:bookmarkEnd w:id="39"/>
    </w:p>
    <w:p w14:paraId="184925D5">
      <w:pPr>
        <w:overflowPunct w:val="0"/>
        <w:autoSpaceDN/>
        <w:spacing w:line="560" w:lineRule="exact"/>
        <w:ind w:firstLine="640" w:firstLineChars="200"/>
        <w:jc w:val="both"/>
        <w:rPr>
          <w:rFonts w:ascii="楷体_GB2312" w:hAnsi="Times New Roman" w:eastAsia="楷体_GB2312"/>
          <w:sz w:val="32"/>
          <w:szCs w:val="32"/>
          <w:lang w:val="zh-TW" w:eastAsia="zh-TW"/>
        </w:rPr>
      </w:pPr>
      <w:r>
        <w:rPr>
          <w:rFonts w:hint="eastAsia" w:ascii="Times New Roman" w:hAnsi="Times New Roman" w:eastAsia="宋体"/>
          <w:sz w:val="32"/>
          <w:szCs w:val="32"/>
          <w:lang w:val="en-US" w:eastAsia="zh-CN"/>
        </w:rPr>
        <w:t>56</w:t>
      </w:r>
      <w:r>
        <w:rPr>
          <w:rFonts w:ascii="Times New Roman" w:hAnsi="Times New Roman"/>
          <w:sz w:val="32"/>
          <w:szCs w:val="32"/>
          <w:lang w:val="zh-TW" w:eastAsia="zh-TW"/>
        </w:rPr>
        <w:t>.</w:t>
      </w:r>
      <w:r>
        <w:rPr>
          <w:rFonts w:ascii="Times New Roman" w:hAnsi="Times New Roman"/>
          <w:sz w:val="32"/>
          <w:szCs w:val="32"/>
          <w:lang w:val="en-US"/>
        </w:rPr>
        <w:t xml:space="preserve"> </w:t>
      </w:r>
      <w:r>
        <w:rPr>
          <w:rFonts w:hint="eastAsia" w:ascii="Times New Roman" w:hAnsi="Times New Roman"/>
          <w:sz w:val="32"/>
          <w:szCs w:val="32"/>
          <w:lang w:val="zh-TW"/>
        </w:rPr>
        <w:t>组织信用服务机构协助失信企业开展信用修复，指导和帮助失信市场主体重塑信用。</w:t>
      </w:r>
      <w:r>
        <w:rPr>
          <w:rFonts w:hint="eastAsia" w:ascii="Times New Roman" w:hAnsi="Times New Roman"/>
          <w:sz w:val="32"/>
          <w:szCs w:val="32"/>
          <w:lang w:val="zh-TW" w:eastAsia="zh-TW"/>
        </w:rPr>
        <w:t>实施信用修复告知，实现失信行为认定、信用修复告知“两书同达”，全年企业完成信用修复量超</w:t>
      </w:r>
      <w:r>
        <w:rPr>
          <w:rFonts w:ascii="Times New Roman" w:hAnsi="Times New Roman"/>
          <w:sz w:val="32"/>
          <w:szCs w:val="32"/>
          <w:lang w:val="zh-TW" w:eastAsia="zh-TW"/>
        </w:rPr>
        <w:t>100</w:t>
      </w:r>
      <w:r>
        <w:rPr>
          <w:rFonts w:hint="eastAsia" w:ascii="Times New Roman" w:hAnsi="Times New Roman"/>
          <w:sz w:val="32"/>
          <w:szCs w:val="32"/>
          <w:lang w:val="zh-TW" w:eastAsia="zh-TW"/>
        </w:rPr>
        <w:t>家。</w:t>
      </w:r>
      <w:r>
        <w:rPr>
          <w:rFonts w:hint="eastAsia" w:ascii="楷体_GB2312" w:hAnsi="Times New Roman" w:eastAsia="楷体_GB2312"/>
          <w:sz w:val="32"/>
          <w:szCs w:val="32"/>
          <w:lang w:val="zh-TW" w:eastAsia="zh-TW"/>
        </w:rPr>
        <w:t>（责任单位：县发改委）</w:t>
      </w:r>
    </w:p>
    <w:p w14:paraId="6BDA7743">
      <w:pPr>
        <w:pStyle w:val="25"/>
        <w:overflowPunct w:val="0"/>
        <w:autoSpaceDN/>
        <w:spacing w:line="560" w:lineRule="exact"/>
        <w:ind w:firstLine="640" w:firstLineChars="200"/>
        <w:jc w:val="both"/>
        <w:rPr>
          <w:rFonts w:ascii="楷体_GB2312" w:hAnsi="Times New Roman" w:eastAsia="楷体_GB2312"/>
          <w:kern w:val="2"/>
          <w:sz w:val="32"/>
          <w:szCs w:val="32"/>
          <w:lang w:val="en-US" w:eastAsia="zh-CN"/>
        </w:rPr>
      </w:pPr>
      <w:r>
        <w:rPr>
          <w:rFonts w:hint="eastAsia" w:ascii="Times New Roman" w:hAnsi="Times New Roman" w:eastAsia="宋体"/>
          <w:sz w:val="32"/>
          <w:szCs w:val="32"/>
          <w:lang w:val="en-US" w:eastAsia="zh-CN"/>
        </w:rPr>
        <w:t>57</w:t>
      </w:r>
      <w:r>
        <w:rPr>
          <w:rFonts w:ascii="Times New Roman" w:hAnsi="Times New Roman"/>
          <w:sz w:val="32"/>
          <w:szCs w:val="32"/>
          <w:lang w:eastAsia="zh-CN"/>
        </w:rPr>
        <w:t>.</w:t>
      </w:r>
      <w:r>
        <w:rPr>
          <w:rFonts w:ascii="Times New Roman" w:hAnsi="Times New Roman"/>
          <w:sz w:val="32"/>
          <w:szCs w:val="32"/>
          <w:lang w:val="en-US" w:eastAsia="zh-CN"/>
        </w:rPr>
        <w:t xml:space="preserve"> </w:t>
      </w:r>
      <w:r>
        <w:rPr>
          <w:rFonts w:hint="eastAsia" w:ascii="Times New Roman" w:hAnsi="Times New Roman"/>
          <w:sz w:val="32"/>
          <w:szCs w:val="32"/>
          <w:lang w:eastAsia="zh-CN"/>
        </w:rPr>
        <w:t>实施执法包容审慎监管，细化涉企轻罚免罚清单，对市场主体违法行为情节显著轻微或者无明显危害后果的，依法不予处罚或者从轻减轻处罚，被处以罚款但确有经济困难的，可依法申请暂缓或分期缴纳。</w:t>
      </w:r>
      <w:r>
        <w:rPr>
          <w:rFonts w:hint="eastAsia" w:ascii="楷体_GB2312" w:hAnsi="Times New Roman" w:eastAsia="楷体_GB2312"/>
          <w:kern w:val="2"/>
          <w:sz w:val="32"/>
          <w:szCs w:val="32"/>
          <w:lang w:val="en-US" w:eastAsia="zh-CN"/>
        </w:rPr>
        <w:t>（责任单位：县司法局、县市场监管局、县农业农村局、县交通局、县文广旅局、县应急管理局、灌南生态环境局、县住建局）</w:t>
      </w:r>
    </w:p>
    <w:p w14:paraId="128CC33C">
      <w:pPr>
        <w:overflowPunct w:val="0"/>
        <w:autoSpaceDN/>
        <w:spacing w:line="560" w:lineRule="exact"/>
        <w:ind w:firstLine="640" w:firstLineChars="200"/>
        <w:jc w:val="both"/>
        <w:rPr>
          <w:rFonts w:ascii="楷体_GB2312" w:hAnsi="Times New Roman" w:eastAsia="楷体_GB2312"/>
          <w:sz w:val="32"/>
          <w:szCs w:val="32"/>
          <w:lang w:val="zh-TW"/>
        </w:rPr>
      </w:pPr>
      <w:r>
        <w:rPr>
          <w:rFonts w:hint="eastAsia" w:ascii="Times New Roman" w:hAnsi="Times New Roman" w:eastAsia="宋体"/>
          <w:sz w:val="32"/>
          <w:szCs w:val="32"/>
          <w:lang w:val="en-US" w:eastAsia="zh-CN"/>
        </w:rPr>
        <w:t>58</w:t>
      </w:r>
      <w:r>
        <w:rPr>
          <w:rFonts w:ascii="Times New Roman" w:hAnsi="Times New Roman"/>
          <w:sz w:val="32"/>
          <w:szCs w:val="32"/>
          <w:lang w:val="zh-TW"/>
        </w:rPr>
        <w:t>.</w:t>
      </w:r>
      <w:r>
        <w:rPr>
          <w:rFonts w:ascii="Times New Roman" w:hAnsi="Times New Roman"/>
          <w:sz w:val="32"/>
          <w:szCs w:val="32"/>
          <w:lang w:val="en-US"/>
        </w:rPr>
        <w:t xml:space="preserve"> </w:t>
      </w:r>
      <w:r>
        <w:rPr>
          <w:rFonts w:hint="eastAsia" w:ascii="Times New Roman" w:hAnsi="Times New Roman"/>
          <w:sz w:val="32"/>
          <w:szCs w:val="32"/>
          <w:lang w:val="zh-TW"/>
        </w:rPr>
        <w:t>推行执法“观察期”制度，给予“四新经济”市场主体合理的执法“观察期”，谨慎使用罚款、责令停产停业等严厉执法措施，年内为市场主体减免处罚金额</w:t>
      </w:r>
      <w:r>
        <w:rPr>
          <w:rFonts w:ascii="Times New Roman" w:hAnsi="Times New Roman"/>
          <w:sz w:val="32"/>
          <w:szCs w:val="32"/>
          <w:lang w:val="zh-TW"/>
        </w:rPr>
        <w:t>150</w:t>
      </w:r>
      <w:r>
        <w:rPr>
          <w:rFonts w:hint="eastAsia" w:ascii="Times New Roman" w:hAnsi="Times New Roman"/>
          <w:sz w:val="32"/>
          <w:szCs w:val="32"/>
          <w:lang w:val="zh-TW"/>
        </w:rPr>
        <w:t>万元。</w:t>
      </w:r>
      <w:r>
        <w:rPr>
          <w:rFonts w:hint="eastAsia" w:ascii="楷体_GB2312" w:hAnsi="Times New Roman" w:eastAsia="楷体_GB2312"/>
          <w:sz w:val="32"/>
          <w:szCs w:val="32"/>
          <w:lang w:val="zh-TW" w:eastAsia="zh-TW"/>
        </w:rPr>
        <w:t>（责任单位：县</w:t>
      </w:r>
      <w:r>
        <w:rPr>
          <w:rFonts w:hint="eastAsia" w:ascii="楷体_GB2312" w:hAnsi="Times New Roman" w:eastAsia="楷体_GB2312"/>
          <w:sz w:val="32"/>
          <w:szCs w:val="32"/>
          <w:lang w:val="zh-TW"/>
        </w:rPr>
        <w:t>市场监管局</w:t>
      </w:r>
      <w:r>
        <w:rPr>
          <w:rFonts w:hint="eastAsia" w:ascii="楷体_GB2312" w:hAnsi="Times New Roman" w:eastAsia="楷体_GB2312"/>
          <w:sz w:val="32"/>
          <w:szCs w:val="32"/>
          <w:lang w:val="zh-TW" w:eastAsia="zh-TW"/>
        </w:rPr>
        <w:t>）</w:t>
      </w:r>
    </w:p>
    <w:p w14:paraId="3E514C5B">
      <w:pPr>
        <w:overflowPunct w:val="0"/>
        <w:autoSpaceDN/>
        <w:spacing w:line="560" w:lineRule="exact"/>
        <w:ind w:firstLine="640" w:firstLineChars="200"/>
        <w:jc w:val="both"/>
        <w:rPr>
          <w:rFonts w:ascii="楷体_GB2312" w:hAnsi="Times New Roman" w:eastAsia="楷体_GB2312"/>
          <w:sz w:val="32"/>
          <w:szCs w:val="32"/>
        </w:rPr>
      </w:pPr>
      <w:r>
        <w:rPr>
          <w:rFonts w:hint="eastAsia" w:ascii="Times New Roman" w:hAnsi="Times New Roman" w:eastAsia="宋体"/>
          <w:sz w:val="32"/>
          <w:szCs w:val="32"/>
          <w:lang w:val="en-US" w:eastAsia="zh-CN"/>
        </w:rPr>
        <w:t>59</w:t>
      </w:r>
      <w:bookmarkStart w:id="40" w:name="_GoBack"/>
      <w:bookmarkEnd w:id="40"/>
      <w:r>
        <w:rPr>
          <w:rFonts w:ascii="Times New Roman" w:hAnsi="Times New Roman"/>
          <w:sz w:val="32"/>
          <w:szCs w:val="32"/>
          <w:lang w:val="zh-TW"/>
        </w:rPr>
        <w:t>.</w:t>
      </w:r>
      <w:r>
        <w:rPr>
          <w:rFonts w:ascii="Times New Roman" w:hAnsi="Times New Roman"/>
          <w:sz w:val="32"/>
          <w:szCs w:val="32"/>
          <w:lang w:val="en-US"/>
        </w:rPr>
        <w:t xml:space="preserve"> </w:t>
      </w:r>
      <w:r>
        <w:rPr>
          <w:rFonts w:hint="eastAsia" w:ascii="Times New Roman" w:hAnsi="Times New Roman"/>
          <w:sz w:val="32"/>
          <w:szCs w:val="32"/>
          <w:lang w:val="zh-TW"/>
        </w:rPr>
        <w:t>持续优化产业链＋法律服务，推出涉企法律服务清单，加快推进民营企业法律顾问制度，推动有条件、有需求的民营企业设立法律顾问。推动仲裁机构在商会、协会、企业等设立联络点，进一步在金融、保险、知识产权等新经济新业务中推广运用。加强知识产权全链条保护法律服务，知识产权保护职能部门应积极广泛推动公证参与知识产权证据保全公证法律服务。加强涉企矛盾纠纷排查化解，积极推动在民营企业建立人民调解组织。为中小微企业免费提供法治体检，为企业提供法律服务保障。</w:t>
      </w:r>
      <w:r>
        <w:rPr>
          <w:rFonts w:hint="eastAsia" w:ascii="楷体_GB2312" w:hAnsi="Times New Roman" w:eastAsia="楷体_GB2312"/>
          <w:sz w:val="32"/>
          <w:szCs w:val="32"/>
        </w:rPr>
        <w:t>（</w:t>
      </w:r>
      <w:r>
        <w:rPr>
          <w:rFonts w:hint="eastAsia" w:ascii="楷体_GB2312" w:hAnsi="Times New Roman" w:eastAsia="楷体_GB2312"/>
          <w:bCs/>
          <w:sz w:val="32"/>
          <w:szCs w:val="32"/>
        </w:rPr>
        <w:t>责任单位：县司法局、县工商联、人行灌南县支行、县市场监管局</w:t>
      </w:r>
      <w:r>
        <w:rPr>
          <w:rFonts w:hint="eastAsia" w:ascii="楷体_GB2312" w:hAnsi="Times New Roman" w:eastAsia="楷体_GB2312"/>
          <w:sz w:val="32"/>
          <w:szCs w:val="32"/>
        </w:rPr>
        <w:t>）</w:t>
      </w:r>
    </w:p>
    <w:p w14:paraId="735426BE">
      <w:pPr>
        <w:pStyle w:val="25"/>
        <w:overflowPunct w:val="0"/>
        <w:autoSpaceDN/>
        <w:spacing w:line="560" w:lineRule="exact"/>
        <w:ind w:firstLine="640" w:firstLineChars="200"/>
        <w:jc w:val="both"/>
        <w:rPr>
          <w:rFonts w:ascii="仿宋_GB2312" w:hAnsi="仿宋" w:eastAsia="PMingLiU"/>
          <w:sz w:val="32"/>
          <w:szCs w:val="32"/>
        </w:rPr>
      </w:pPr>
      <w:r>
        <w:rPr>
          <w:rFonts w:ascii="Times New Roman" w:hAnsi="Times New Roman" w:cs="Times New Roman"/>
          <w:sz w:val="32"/>
          <w:szCs w:val="32"/>
        </w:rPr>
        <w:t>以上政策措施自发布之日起实施</w:t>
      </w:r>
      <w:r>
        <w:rPr>
          <w:rFonts w:hint="eastAsia" w:ascii="Times New Roman" w:hAnsi="Times New Roman" w:cs="Times New Roman"/>
          <w:sz w:val="32"/>
          <w:szCs w:val="32"/>
          <w:lang w:eastAsia="zh-CN"/>
        </w:rPr>
        <w:t>，</w:t>
      </w:r>
      <w:r>
        <w:rPr>
          <w:rFonts w:ascii="Times New Roman" w:hAnsi="Times New Roman" w:cs="Times New Roman"/>
          <w:sz w:val="32"/>
          <w:szCs w:val="32"/>
        </w:rPr>
        <w:t>除已有明确期限规定外，有效期截至2023年12月31日。</w:t>
      </w:r>
      <w:r>
        <w:rPr>
          <w:rFonts w:ascii="仿宋_GB2312" w:hAnsi="仿宋"/>
          <w:sz w:val="32"/>
          <w:szCs w:val="32"/>
        </w:rPr>
        <w:t>如国家、省、市出台同类政策，</w:t>
      </w:r>
      <w:r>
        <w:rPr>
          <w:rFonts w:hint="eastAsia" w:ascii="仿宋_GB2312" w:hAnsi="仿宋"/>
          <w:sz w:val="32"/>
          <w:szCs w:val="32"/>
        </w:rPr>
        <w:t>按照“就高不重复”原则执行。</w:t>
      </w:r>
    </w:p>
    <w:p w14:paraId="46E85331">
      <w:pPr>
        <w:pStyle w:val="25"/>
        <w:overflowPunct w:val="0"/>
        <w:autoSpaceDN/>
        <w:spacing w:line="560" w:lineRule="exact"/>
        <w:ind w:firstLine="640" w:firstLineChars="200"/>
        <w:jc w:val="both"/>
        <w:rPr>
          <w:rFonts w:ascii="仿宋_GB2312" w:hAnsi="仿宋"/>
          <w:sz w:val="32"/>
          <w:szCs w:val="32"/>
        </w:rPr>
      </w:pPr>
      <w:r>
        <w:rPr>
          <w:rFonts w:hint="eastAsia" w:ascii="仿宋_GB2312" w:hAnsi="仿宋"/>
          <w:sz w:val="32"/>
          <w:szCs w:val="32"/>
        </w:rPr>
        <w:t>以上政策措施自印发实施一周内</w:t>
      </w:r>
      <w:r>
        <w:rPr>
          <w:rFonts w:hint="eastAsia" w:ascii="仿宋_GB2312" w:hAnsi="仿宋"/>
          <w:sz w:val="32"/>
          <w:szCs w:val="32"/>
          <w:lang w:eastAsia="zh-CN"/>
        </w:rPr>
        <w:t>，县</w:t>
      </w:r>
      <w:r>
        <w:rPr>
          <w:rFonts w:hint="eastAsia" w:ascii="仿宋_GB2312" w:hAnsi="仿宋"/>
          <w:sz w:val="32"/>
          <w:szCs w:val="32"/>
        </w:rPr>
        <w:t>各</w:t>
      </w:r>
      <w:r>
        <w:rPr>
          <w:rFonts w:hint="eastAsia" w:ascii="仿宋_GB2312" w:hAnsi="仿宋"/>
          <w:sz w:val="32"/>
          <w:szCs w:val="32"/>
          <w:lang w:eastAsia="zh-CN"/>
        </w:rPr>
        <w:t>有关</w:t>
      </w:r>
      <w:r>
        <w:rPr>
          <w:rFonts w:hint="eastAsia" w:ascii="仿宋_GB2312" w:hAnsi="仿宋"/>
          <w:sz w:val="32"/>
          <w:szCs w:val="32"/>
        </w:rPr>
        <w:t>部门要公布实施细则、服务指南，明确涉企资金兑现流程和时间期限，最大限度实现“免申即享”“即申即享”。县政府将适时就政策措施贯彻落实情况开展督查检查。</w:t>
      </w:r>
    </w:p>
    <w:p w14:paraId="6C19FE74">
      <w:pPr>
        <w:overflowPunct w:val="0"/>
        <w:autoSpaceDN/>
        <w:spacing w:line="560" w:lineRule="exact"/>
        <w:ind w:firstLine="415"/>
      </w:pPr>
    </w:p>
    <w:p w14:paraId="35ED2350">
      <w:pPr>
        <w:pStyle w:val="2"/>
        <w:overflowPunct w:val="0"/>
        <w:autoSpaceDN/>
        <w:spacing w:line="560" w:lineRule="exact"/>
        <w:ind w:left="2038" w:leftChars="490" w:hanging="960" w:hangingChars="300"/>
        <w:jc w:val="both"/>
        <w:rPr>
          <w:lang w:val="en-US"/>
        </w:rPr>
      </w:pPr>
    </w:p>
    <w:sectPr>
      <w:footerReference r:id="rId3" w:type="default"/>
      <w:pgSz w:w="11906" w:h="16838"/>
      <w:pgMar w:top="2098" w:right="1474" w:bottom="1985"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EF6E">
    <w:pPr>
      <w:pStyle w:val="6"/>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txbx>
                      <w:txbxContent>
                        <w:p w14:paraId="39368161">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- 16 -</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9z4b0gAAAAMBAAAPAAAAAAAAAAEAIAAAACIAAABkcnMvZG93bnJldi54bWxQSwECFAAU&#10;AAAACACHTuJATRkvSDACAABTBAAADgAAAAAAAAABACAAAAAhAQAAZHJzL2Uyb0RvYy54bWxQSwUG&#10;AAAAAAYABgBZAQAAwwUAAAAA&#10;">
              <v:fill on="f" focussize="0,0"/>
              <v:stroke on="f" weight="0.5pt"/>
              <v:imagedata o:title=""/>
              <o:lock v:ext="edit" aspectratio="f"/>
              <v:textbox inset="0mm,0mm,0mm,0mm" style="mso-fit-shape-to-text:t;">
                <w:txbxContent>
                  <w:p w14:paraId="39368161">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- 16 -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MTE1NmUwMjBmNjA3N2NjY2U4NDVjMTRkMjRlM2YifQ=="/>
  </w:docVars>
  <w:rsids>
    <w:rsidRoot w:val="00370AC0"/>
    <w:rsid w:val="00001627"/>
    <w:rsid w:val="000226DA"/>
    <w:rsid w:val="00022F97"/>
    <w:rsid w:val="00040D28"/>
    <w:rsid w:val="00055A97"/>
    <w:rsid w:val="00062898"/>
    <w:rsid w:val="000D12E3"/>
    <w:rsid w:val="00102FEF"/>
    <w:rsid w:val="0012748F"/>
    <w:rsid w:val="00137FE4"/>
    <w:rsid w:val="00167C94"/>
    <w:rsid w:val="001B0A51"/>
    <w:rsid w:val="001B5F6A"/>
    <w:rsid w:val="001B6642"/>
    <w:rsid w:val="00212B84"/>
    <w:rsid w:val="00223A48"/>
    <w:rsid w:val="00232850"/>
    <w:rsid w:val="00260F8B"/>
    <w:rsid w:val="00295344"/>
    <w:rsid w:val="002B68A7"/>
    <w:rsid w:val="002E1CD3"/>
    <w:rsid w:val="00325053"/>
    <w:rsid w:val="00334088"/>
    <w:rsid w:val="00370AC0"/>
    <w:rsid w:val="00384D38"/>
    <w:rsid w:val="003A01E0"/>
    <w:rsid w:val="003C7D13"/>
    <w:rsid w:val="00434C72"/>
    <w:rsid w:val="004641B7"/>
    <w:rsid w:val="0047007C"/>
    <w:rsid w:val="004C1026"/>
    <w:rsid w:val="004D3713"/>
    <w:rsid w:val="004E38AE"/>
    <w:rsid w:val="004F74E8"/>
    <w:rsid w:val="005403F1"/>
    <w:rsid w:val="0058367F"/>
    <w:rsid w:val="005912EC"/>
    <w:rsid w:val="005F470C"/>
    <w:rsid w:val="006114C9"/>
    <w:rsid w:val="00617B53"/>
    <w:rsid w:val="0066554C"/>
    <w:rsid w:val="006818AA"/>
    <w:rsid w:val="0069398E"/>
    <w:rsid w:val="0070067D"/>
    <w:rsid w:val="0070322F"/>
    <w:rsid w:val="007833F4"/>
    <w:rsid w:val="007947F8"/>
    <w:rsid w:val="0079685A"/>
    <w:rsid w:val="007A6F19"/>
    <w:rsid w:val="007D1A2B"/>
    <w:rsid w:val="007E2F71"/>
    <w:rsid w:val="008460CD"/>
    <w:rsid w:val="0084737C"/>
    <w:rsid w:val="008771AA"/>
    <w:rsid w:val="00886FC4"/>
    <w:rsid w:val="008933CC"/>
    <w:rsid w:val="0089394C"/>
    <w:rsid w:val="008A53A4"/>
    <w:rsid w:val="009251B9"/>
    <w:rsid w:val="00960369"/>
    <w:rsid w:val="009E595C"/>
    <w:rsid w:val="00A5097F"/>
    <w:rsid w:val="00A518A0"/>
    <w:rsid w:val="00A84D01"/>
    <w:rsid w:val="00A96AC1"/>
    <w:rsid w:val="00AA0309"/>
    <w:rsid w:val="00AA7048"/>
    <w:rsid w:val="00AC3D32"/>
    <w:rsid w:val="00AC4B94"/>
    <w:rsid w:val="00AD5833"/>
    <w:rsid w:val="00B06A38"/>
    <w:rsid w:val="00B26480"/>
    <w:rsid w:val="00B30611"/>
    <w:rsid w:val="00B32E7A"/>
    <w:rsid w:val="00B518AC"/>
    <w:rsid w:val="00BC4B09"/>
    <w:rsid w:val="00BC7A4B"/>
    <w:rsid w:val="00BE5375"/>
    <w:rsid w:val="00C16C9E"/>
    <w:rsid w:val="00C2183D"/>
    <w:rsid w:val="00C321C6"/>
    <w:rsid w:val="00C52CC0"/>
    <w:rsid w:val="00C5398A"/>
    <w:rsid w:val="00C57108"/>
    <w:rsid w:val="00C9102A"/>
    <w:rsid w:val="00CA79E0"/>
    <w:rsid w:val="00CB2D1D"/>
    <w:rsid w:val="00CD13A2"/>
    <w:rsid w:val="00CD6355"/>
    <w:rsid w:val="00CF5431"/>
    <w:rsid w:val="00D135E5"/>
    <w:rsid w:val="00D23DE4"/>
    <w:rsid w:val="00D248C5"/>
    <w:rsid w:val="00D40D84"/>
    <w:rsid w:val="00D42C27"/>
    <w:rsid w:val="00D52C1C"/>
    <w:rsid w:val="00D55917"/>
    <w:rsid w:val="00D5607F"/>
    <w:rsid w:val="00DC07E6"/>
    <w:rsid w:val="00DC6545"/>
    <w:rsid w:val="00DD0956"/>
    <w:rsid w:val="00DD0FDD"/>
    <w:rsid w:val="00E75F42"/>
    <w:rsid w:val="00E80AEB"/>
    <w:rsid w:val="00EC185E"/>
    <w:rsid w:val="00EC26BB"/>
    <w:rsid w:val="00EF09C9"/>
    <w:rsid w:val="00F1293E"/>
    <w:rsid w:val="00F20A86"/>
    <w:rsid w:val="00F232E1"/>
    <w:rsid w:val="00F55947"/>
    <w:rsid w:val="00F71D44"/>
    <w:rsid w:val="00FB60F2"/>
    <w:rsid w:val="0693763B"/>
    <w:rsid w:val="077856E8"/>
    <w:rsid w:val="0787553E"/>
    <w:rsid w:val="0821066A"/>
    <w:rsid w:val="084E1439"/>
    <w:rsid w:val="09534957"/>
    <w:rsid w:val="0A250C8B"/>
    <w:rsid w:val="0A91181D"/>
    <w:rsid w:val="0B181C6E"/>
    <w:rsid w:val="0E0F4B94"/>
    <w:rsid w:val="0E807DDC"/>
    <w:rsid w:val="0E83522F"/>
    <w:rsid w:val="0EC36A7C"/>
    <w:rsid w:val="0FE169FC"/>
    <w:rsid w:val="10040C96"/>
    <w:rsid w:val="10C43F3B"/>
    <w:rsid w:val="15240A91"/>
    <w:rsid w:val="165E24F4"/>
    <w:rsid w:val="166831ED"/>
    <w:rsid w:val="168B69F4"/>
    <w:rsid w:val="186F1A54"/>
    <w:rsid w:val="1B4D229A"/>
    <w:rsid w:val="1D427C2F"/>
    <w:rsid w:val="1DB16049"/>
    <w:rsid w:val="20293BBD"/>
    <w:rsid w:val="21173F2D"/>
    <w:rsid w:val="21801A0D"/>
    <w:rsid w:val="235B1191"/>
    <w:rsid w:val="23DE696D"/>
    <w:rsid w:val="25573E99"/>
    <w:rsid w:val="272459A8"/>
    <w:rsid w:val="2812661C"/>
    <w:rsid w:val="294F7217"/>
    <w:rsid w:val="2C286677"/>
    <w:rsid w:val="2DFB1F51"/>
    <w:rsid w:val="31C9105E"/>
    <w:rsid w:val="33A94E62"/>
    <w:rsid w:val="34EF1B13"/>
    <w:rsid w:val="368764E2"/>
    <w:rsid w:val="387B4076"/>
    <w:rsid w:val="389726D1"/>
    <w:rsid w:val="38B45BA3"/>
    <w:rsid w:val="3B205946"/>
    <w:rsid w:val="3E0162F5"/>
    <w:rsid w:val="3E7441C2"/>
    <w:rsid w:val="3E8F5A8C"/>
    <w:rsid w:val="3EB96C81"/>
    <w:rsid w:val="3EFA62C4"/>
    <w:rsid w:val="3F6802FD"/>
    <w:rsid w:val="412B5E92"/>
    <w:rsid w:val="413A2203"/>
    <w:rsid w:val="41F24721"/>
    <w:rsid w:val="42585856"/>
    <w:rsid w:val="42914AE1"/>
    <w:rsid w:val="42F01152"/>
    <w:rsid w:val="436C45F5"/>
    <w:rsid w:val="46602345"/>
    <w:rsid w:val="46AF541F"/>
    <w:rsid w:val="49D24F9B"/>
    <w:rsid w:val="4BD4226E"/>
    <w:rsid w:val="4BF03A59"/>
    <w:rsid w:val="4C813C1D"/>
    <w:rsid w:val="4D0A0004"/>
    <w:rsid w:val="50457598"/>
    <w:rsid w:val="51007E27"/>
    <w:rsid w:val="534D1CC0"/>
    <w:rsid w:val="54221E7E"/>
    <w:rsid w:val="555C1252"/>
    <w:rsid w:val="56971686"/>
    <w:rsid w:val="57063056"/>
    <w:rsid w:val="57496B84"/>
    <w:rsid w:val="57EA7E96"/>
    <w:rsid w:val="59C821B0"/>
    <w:rsid w:val="5B8C58A9"/>
    <w:rsid w:val="5C335425"/>
    <w:rsid w:val="5D031360"/>
    <w:rsid w:val="5E762EF3"/>
    <w:rsid w:val="60B91EB1"/>
    <w:rsid w:val="65103EBF"/>
    <w:rsid w:val="66147908"/>
    <w:rsid w:val="66F66CA6"/>
    <w:rsid w:val="68695D37"/>
    <w:rsid w:val="6B2C5BC7"/>
    <w:rsid w:val="6C9E1E0B"/>
    <w:rsid w:val="6C9F6F47"/>
    <w:rsid w:val="6DB64EE7"/>
    <w:rsid w:val="70113EFF"/>
    <w:rsid w:val="70B62261"/>
    <w:rsid w:val="71902113"/>
    <w:rsid w:val="71D44948"/>
    <w:rsid w:val="724904AF"/>
    <w:rsid w:val="73601F7C"/>
    <w:rsid w:val="74D1353E"/>
    <w:rsid w:val="7566356D"/>
    <w:rsid w:val="763F0765"/>
    <w:rsid w:val="767D4CFA"/>
    <w:rsid w:val="76DA5293"/>
    <w:rsid w:val="784C695F"/>
    <w:rsid w:val="7A36584B"/>
    <w:rsid w:val="7BE77F13"/>
    <w:rsid w:val="7C450C2A"/>
    <w:rsid w:val="7C594BC2"/>
    <w:rsid w:val="7C704E48"/>
    <w:rsid w:val="7CB754A0"/>
    <w:rsid w:val="7CE626F5"/>
    <w:rsid w:val="7E5E0F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nhideWhenUsed="0" w:uiPriority="99"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_GB2312" w:hAnsi="仿宋_GB2312" w:eastAsia="仿宋_GB2312" w:cs="仿宋_GB2312"/>
      <w:kern w:val="0"/>
      <w:sz w:val="22"/>
      <w:szCs w:val="22"/>
      <w:lang w:val="zh-CN"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locked/>
    <w:uiPriority w:val="99"/>
    <w:pPr>
      <w:ind w:firstLine="420" w:firstLineChars="100"/>
    </w:pPr>
  </w:style>
  <w:style w:type="paragraph" w:styleId="3">
    <w:name w:val="Body Text"/>
    <w:basedOn w:val="1"/>
    <w:link w:val="14"/>
    <w:uiPriority w:val="99"/>
    <w:pPr>
      <w:ind w:left="120"/>
    </w:pPr>
    <w:rPr>
      <w:sz w:val="32"/>
      <w:szCs w:val="32"/>
    </w:rPr>
  </w:style>
  <w:style w:type="paragraph" w:styleId="4">
    <w:name w:val="Body Text Indent"/>
    <w:basedOn w:val="1"/>
    <w:link w:val="16"/>
    <w:qFormat/>
    <w:uiPriority w:val="99"/>
    <w:pPr>
      <w:spacing w:after="120"/>
      <w:ind w:left="420" w:leftChars="200"/>
    </w:pPr>
  </w:style>
  <w:style w:type="paragraph" w:styleId="5">
    <w:name w:val="Balloon Text"/>
    <w:basedOn w:val="1"/>
    <w:link w:val="26"/>
    <w:semiHidden/>
    <w:unhideWhenUsed/>
    <w:qFormat/>
    <w:locked/>
    <w:uiPriority w:val="99"/>
    <w:rPr>
      <w:sz w:val="18"/>
      <w:szCs w:val="18"/>
    </w:rPr>
  </w:style>
  <w:style w:type="paragraph" w:styleId="6">
    <w:name w:val="footer"/>
    <w:basedOn w:val="1"/>
    <w:link w:val="17"/>
    <w:uiPriority w:val="99"/>
    <w:pPr>
      <w:tabs>
        <w:tab w:val="center" w:pos="4153"/>
        <w:tab w:val="right" w:pos="8306"/>
      </w:tabs>
      <w:snapToGrid w:val="0"/>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semiHidden/>
    <w:unhideWhenUsed/>
    <w:qFormat/>
    <w:locked/>
    <w:uiPriority w:val="99"/>
    <w:pPr>
      <w:widowControl/>
      <w:autoSpaceDE/>
      <w:autoSpaceDN/>
      <w:spacing w:before="100" w:beforeAutospacing="1" w:after="100" w:afterAutospacing="1"/>
    </w:pPr>
    <w:rPr>
      <w:rFonts w:ascii="宋体" w:hAnsi="宋体" w:eastAsia="宋体" w:cs="宋体"/>
      <w:sz w:val="24"/>
      <w:szCs w:val="24"/>
      <w:lang w:val="en-US"/>
    </w:rPr>
  </w:style>
  <w:style w:type="paragraph" w:styleId="9">
    <w:name w:val="Body Text First Indent 2"/>
    <w:basedOn w:val="4"/>
    <w:next w:val="1"/>
    <w:link w:val="19"/>
    <w:qFormat/>
    <w:uiPriority w:val="99"/>
    <w:pPr>
      <w:spacing w:after="0" w:line="360" w:lineRule="auto"/>
      <w:ind w:left="0" w:leftChars="0" w:firstLine="420" w:firstLineChars="200"/>
    </w:pPr>
    <w:rPr>
      <w:rFonts w:ascii="Times New Roman" w:hAnsi="Times New Roman"/>
      <w:sz w:val="28"/>
      <w:szCs w:val="20"/>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locked/>
    <w:uiPriority w:val="99"/>
    <w:rPr>
      <w:rFonts w:cs="Times New Roman"/>
    </w:rPr>
  </w:style>
  <w:style w:type="character" w:customStyle="1" w:styleId="14">
    <w:name w:val="正文文本 字符"/>
    <w:basedOn w:val="12"/>
    <w:link w:val="3"/>
    <w:semiHidden/>
    <w:locked/>
    <w:uiPriority w:val="99"/>
    <w:rPr>
      <w:rFonts w:ascii="仿宋_GB2312" w:hAnsi="仿宋_GB2312" w:eastAsia="仿宋_GB2312" w:cs="仿宋_GB2312"/>
      <w:kern w:val="0"/>
      <w:sz w:val="22"/>
      <w:lang w:val="zh-CN"/>
    </w:rPr>
  </w:style>
  <w:style w:type="character" w:customStyle="1" w:styleId="15">
    <w:name w:val="正文首行缩进 字符"/>
    <w:basedOn w:val="14"/>
    <w:link w:val="2"/>
    <w:semiHidden/>
    <w:locked/>
    <w:uiPriority w:val="99"/>
    <w:rPr>
      <w:rFonts w:ascii="仿宋_GB2312" w:hAnsi="仿宋_GB2312" w:eastAsia="仿宋_GB2312" w:cs="仿宋_GB2312"/>
      <w:kern w:val="0"/>
      <w:sz w:val="22"/>
      <w:lang w:val="zh-CN"/>
    </w:rPr>
  </w:style>
  <w:style w:type="character" w:customStyle="1" w:styleId="16">
    <w:name w:val="正文文本缩进 字符"/>
    <w:basedOn w:val="12"/>
    <w:link w:val="4"/>
    <w:semiHidden/>
    <w:locked/>
    <w:uiPriority w:val="99"/>
    <w:rPr>
      <w:rFonts w:ascii="仿宋_GB2312" w:hAnsi="仿宋_GB2312" w:eastAsia="仿宋_GB2312" w:cs="仿宋_GB2312"/>
      <w:kern w:val="0"/>
      <w:sz w:val="22"/>
      <w:lang w:val="zh-CN"/>
    </w:rPr>
  </w:style>
  <w:style w:type="character" w:customStyle="1" w:styleId="17">
    <w:name w:val="页脚 字符"/>
    <w:basedOn w:val="12"/>
    <w:link w:val="6"/>
    <w:semiHidden/>
    <w:qFormat/>
    <w:locked/>
    <w:uiPriority w:val="99"/>
    <w:rPr>
      <w:rFonts w:ascii="仿宋_GB2312" w:hAnsi="仿宋_GB2312" w:eastAsia="仿宋_GB2312" w:cs="仿宋_GB2312"/>
      <w:kern w:val="0"/>
      <w:sz w:val="18"/>
      <w:szCs w:val="18"/>
      <w:lang w:val="zh-CN"/>
    </w:rPr>
  </w:style>
  <w:style w:type="character" w:customStyle="1" w:styleId="18">
    <w:name w:val="页眉 字符"/>
    <w:basedOn w:val="12"/>
    <w:link w:val="7"/>
    <w:semiHidden/>
    <w:qFormat/>
    <w:locked/>
    <w:uiPriority w:val="99"/>
    <w:rPr>
      <w:rFonts w:ascii="仿宋_GB2312" w:hAnsi="仿宋_GB2312" w:eastAsia="仿宋_GB2312" w:cs="仿宋_GB2312"/>
      <w:kern w:val="0"/>
      <w:sz w:val="18"/>
      <w:szCs w:val="18"/>
      <w:lang w:val="zh-CN"/>
    </w:rPr>
  </w:style>
  <w:style w:type="character" w:customStyle="1" w:styleId="19">
    <w:name w:val="正文首行缩进 2 字符"/>
    <w:basedOn w:val="16"/>
    <w:link w:val="9"/>
    <w:semiHidden/>
    <w:qFormat/>
    <w:locked/>
    <w:uiPriority w:val="99"/>
    <w:rPr>
      <w:rFonts w:ascii="仿宋_GB2312" w:hAnsi="仿宋_GB2312" w:eastAsia="仿宋_GB2312" w:cs="仿宋_GB2312"/>
      <w:kern w:val="0"/>
      <w:sz w:val="22"/>
      <w:lang w:val="zh-CN"/>
    </w:rPr>
  </w:style>
  <w:style w:type="paragraph" w:customStyle="1" w:styleId="20">
    <w:name w:val="段"/>
    <w:next w:val="1"/>
    <w:qFormat/>
    <w:uiPriority w:val="99"/>
    <w:pPr>
      <w:autoSpaceDE w:val="0"/>
      <w:autoSpaceDN w:val="0"/>
      <w:ind w:firstLine="200"/>
      <w:jc w:val="both"/>
    </w:pPr>
    <w:rPr>
      <w:rFonts w:ascii="宋体" w:hAnsi="Calibri" w:eastAsia="宋体" w:cs="Times New Roman"/>
      <w:kern w:val="0"/>
      <w:sz w:val="21"/>
      <w:szCs w:val="22"/>
      <w:lang w:val="en-US" w:eastAsia="zh-CN" w:bidi="ar-SA"/>
    </w:rPr>
  </w:style>
  <w:style w:type="paragraph" w:styleId="21">
    <w:name w:val="List Paragraph"/>
    <w:basedOn w:val="1"/>
    <w:qFormat/>
    <w:uiPriority w:val="99"/>
    <w:pPr>
      <w:ind w:left="120" w:right="120" w:firstLine="640"/>
      <w:jc w:val="both"/>
    </w:pPr>
  </w:style>
  <w:style w:type="paragraph" w:customStyle="1" w:styleId="22">
    <w:name w:val="正文2"/>
    <w:basedOn w:val="1"/>
    <w:qFormat/>
    <w:uiPriority w:val="99"/>
    <w:pPr>
      <w:snapToGrid w:val="0"/>
      <w:spacing w:line="560" w:lineRule="exact"/>
      <w:ind w:firstLine="200" w:firstLineChars="200"/>
    </w:pPr>
    <w:rPr>
      <w:rFonts w:ascii="Times New Roman" w:hAnsi="Times New Roman" w:eastAsia="方正仿宋_GBK" w:cs="Times New Roman"/>
      <w:sz w:val="32"/>
      <w:szCs w:val="32"/>
    </w:rPr>
  </w:style>
  <w:style w:type="paragraph" w:customStyle="1" w:styleId="23">
    <w:name w:val="NormalIndent"/>
    <w:basedOn w:val="1"/>
    <w:qFormat/>
    <w:uiPriority w:val="99"/>
    <w:pPr>
      <w:snapToGrid w:val="0"/>
      <w:spacing w:line="360" w:lineRule="auto"/>
      <w:ind w:firstLine="200" w:firstLineChars="200"/>
      <w:jc w:val="both"/>
      <w:textAlignment w:val="baseline"/>
    </w:pPr>
    <w:rPr>
      <w:rFonts w:ascii="宋体" w:hAnsi="宋体" w:cs="Times New Roman"/>
      <w:bCs/>
      <w:kern w:val="2"/>
      <w:sz w:val="24"/>
      <w:szCs w:val="36"/>
      <w:lang w:val="en-US"/>
    </w:rPr>
  </w:style>
  <w:style w:type="paragraph" w:customStyle="1" w:styleId="24">
    <w:name w:val="Heading #2|1"/>
    <w:basedOn w:val="1"/>
    <w:qFormat/>
    <w:uiPriority w:val="99"/>
    <w:pPr>
      <w:spacing w:after="520" w:line="547" w:lineRule="exact"/>
      <w:jc w:val="center"/>
      <w:outlineLvl w:val="1"/>
    </w:pPr>
    <w:rPr>
      <w:rFonts w:ascii="宋体" w:hAnsi="宋体"/>
      <w:sz w:val="42"/>
      <w:szCs w:val="42"/>
      <w:lang w:val="zh-TW" w:eastAsia="zh-TW"/>
    </w:rPr>
  </w:style>
  <w:style w:type="paragraph" w:customStyle="1" w:styleId="25">
    <w:name w:val="Body text|1"/>
    <w:basedOn w:val="1"/>
    <w:qFormat/>
    <w:uiPriority w:val="99"/>
    <w:pPr>
      <w:spacing w:line="384" w:lineRule="auto"/>
      <w:ind w:firstLine="400"/>
    </w:pPr>
    <w:rPr>
      <w:rFonts w:ascii="宋体" w:hAnsi="宋体"/>
      <w:sz w:val="30"/>
      <w:szCs w:val="30"/>
      <w:lang w:val="zh-TW" w:eastAsia="zh-TW"/>
    </w:rPr>
  </w:style>
  <w:style w:type="character" w:customStyle="1" w:styleId="26">
    <w:name w:val="批注框文本 字符"/>
    <w:basedOn w:val="12"/>
    <w:link w:val="5"/>
    <w:semiHidden/>
    <w:qFormat/>
    <w:uiPriority w:val="99"/>
    <w:rPr>
      <w:rFonts w:ascii="仿宋_GB2312" w:hAnsi="仿宋_GB2312" w:eastAsia="仿宋_GB2312" w:cs="仿宋_GB2312"/>
      <w:kern w:val="0"/>
      <w:sz w:val="18"/>
      <w:szCs w:val="1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7920</Words>
  <Characters>8219</Characters>
  <Lines>59</Lines>
  <Paragraphs>16</Paragraphs>
  <TotalTime>123</TotalTime>
  <ScaleCrop>false</ScaleCrop>
  <LinksUpToDate>false</LinksUpToDate>
  <CharactersWithSpaces>8279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2023-03-29T06:49:00Z</dcterms:created>
  <dc:creator>Administrator</dc:creator>
  <cp:lastModifiedBy>HiWin10</cp:lastModifiedBy>
  <cp:lastPrinted>2023-03-29T09:16:00Z</cp:lastPrinted>
  <dcterms:modified xsi:type="dcterms:W3CDTF">2024-08-30T02:52:39Z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A3CDA2B8F21441369297DDEFE1EFDFF9</vt:lpwstr>
  </property>
  <property fmtid="{D5CDD505-2E9C-101B-9397-08002B2CF9AE}" pid="4" name="KSOSaveFontToCloudKey">
    <vt:lpwstr>454630707_btnclosed</vt:lpwstr>
  </property>
</Properties>
</file>