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31" w:rsidRDefault="002F70C2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关于服务工程建设项目早开工的若干措施</w:t>
      </w:r>
    </w:p>
    <w:p w:rsidR="00F87D5A" w:rsidRDefault="00026DBF" w:rsidP="00026DBF">
      <w:pPr>
        <w:spacing w:line="560" w:lineRule="exact"/>
        <w:jc w:val="center"/>
        <w:rPr>
          <w:rFonts w:ascii="方正小标宋_GBK" w:eastAsia="方正小标宋_GBK" w:cs="方正小标宋_GBK" w:hint="eastAsia"/>
          <w:kern w:val="0"/>
          <w:sz w:val="44"/>
          <w:szCs w:val="44"/>
          <w:lang w:val="zh-CN"/>
        </w:rPr>
      </w:pPr>
      <w:r>
        <w:rPr>
          <w:rFonts w:ascii="方正小标宋_GBK" w:eastAsia="方正小标宋_GBK" w:cs="方正小标宋_GBK" w:hint="eastAsia"/>
          <w:kern w:val="0"/>
          <w:sz w:val="44"/>
          <w:szCs w:val="44"/>
          <w:lang w:val="zh-CN"/>
        </w:rPr>
        <w:t>（征求意见稿）</w:t>
      </w:r>
    </w:p>
    <w:p w:rsidR="00026DBF" w:rsidRDefault="00026DBF" w:rsidP="00026DBF">
      <w:pPr>
        <w:spacing w:line="560" w:lineRule="exact"/>
        <w:jc w:val="center"/>
        <w:rPr>
          <w:rFonts w:ascii="仿宋_GB2312" w:eastAsia="仿宋_GB2312" w:hAnsi="方正仿宋_GBK" w:cs="方正仿宋_GBK"/>
          <w:sz w:val="32"/>
          <w:szCs w:val="32"/>
        </w:rPr>
      </w:pP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为优化我县营商环境，助力高质量发展，加快推动工程建设项目落地投产，根据《关于全面开展工程建设项目审批制度改革的实施意见》（国办发[2019]11号）、《江苏省优化营商环境条例》、《连云港市分阶段办理施工许可实施意见（试行）》（连工改办[2023]3号）、《灌南县工程建设项目审批制度改革实施方案》（灌政发[2020]31号）等文件，借鉴其他地区相关经验做法，制定我县服务工程建设项目早开工的若干措施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一、桩基工程单独发包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为了推进我县重点项目早落地、早开工，进一步落实建设单位主体责任要求，可以推行桩基先行招标工作。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项目总承包单位确定前，建设单位严格落实保障桩基工程质量和安全首要责任。项目总承包单位确定后，桩基工程一并纳入项目总承包统一管理。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二、桩基施工许可先行办理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针对社会投资及非依法必招项目，建设单位可以凭用地批准手续、建设工程规划许可证、施工合同、桩基施工图审查合格证明及其他规定要件，先行申请办理桩基施工许可。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桩基工程施工前，由自然资源和规划部门提前介入对建设工程进行规划验线。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三、整体工程施工许可一次办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建设单位申请办理工程项目整体施工许可时，可以凭用地批</w:t>
      </w:r>
      <w:r>
        <w:rPr>
          <w:rFonts w:ascii="仿宋_GB2312" w:eastAsia="仿宋_GB2312" w:hAnsi="方正仿宋_GBK" w:cs="方正仿宋_GBK" w:hint="eastAsia"/>
          <w:sz w:val="32"/>
          <w:szCs w:val="32"/>
        </w:rPr>
        <w:lastRenderedPageBreak/>
        <w:t>准手续、建设工程规划许可证、土建工程的施工图设计文件审查合格书（涉及消防设计审查的特殊工程项目，需取得消防设计审核意见）、总承包合同及其他规定要件，一次性申请施工许可。施工许可证核发后，总承包合同范围内的幕墙、装饰装修、配套、机电安装等其他专项工程，可按施工阶段进程申报图审，经施工图审查合格后，向住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建部门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补充专项工程材料即可，无需再次申领施工许可证。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除建设单位或施工单位发生变更，需依法重新核发施工许可证外，其他需要变更施工许可信息的情形，由建设单位直接向住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建部门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报备，经同意后实施。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四、重大项目承诺即开工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列入国家、省、市、县重点项目（不含甲、乙类特殊建设工程），在满足签订土地合同或取得划拨决定书、建设工程规划总平面图审查通过、施工图审查一审意见反馈并无违反强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规强条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情形、项目建设五方主体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承诺经自然资源和规划局、住房和城乡建设局及数据局同意等条件后，由数据局出具《建筑工程准予施工通知书》，并将信息推送住建部门，安排质监、安监进场。建设单位按照承诺先行开工，在两个月内完成建设用地规划许可、建设工程规划许可和建筑施工许可手续办理，否则接受不实承诺的处罚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五、豁免清单项目可不办理施工许可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按照《关于公布〈连云港市工程建设项目审批豁免清单〉的通知》（</w:t>
      </w:r>
      <w:proofErr w:type="gramStart"/>
      <w:r>
        <w:rPr>
          <w:rFonts w:ascii="仿宋_GB2312" w:eastAsia="仿宋_GB2312" w:hAnsi="方正仿宋_GBK" w:cs="方正仿宋_GBK" w:hint="eastAsia"/>
          <w:sz w:val="32"/>
          <w:szCs w:val="32"/>
        </w:rPr>
        <w:t>连协调</w:t>
      </w:r>
      <w:proofErr w:type="gramEnd"/>
      <w:r>
        <w:rPr>
          <w:rFonts w:ascii="仿宋_GB2312" w:eastAsia="仿宋_GB2312" w:hAnsi="方正仿宋_GBK" w:cs="方正仿宋_GBK" w:hint="eastAsia"/>
          <w:sz w:val="32"/>
          <w:szCs w:val="32"/>
        </w:rPr>
        <w:t>办〔2020〕12号）实施，不扩大用地范围的市政设施改造、老旧小区改造等重大改造项目可以不办理施工许可证，</w:t>
      </w:r>
      <w:r>
        <w:rPr>
          <w:rFonts w:ascii="仿宋_GB2312" w:eastAsia="仿宋_GB2312" w:hAnsi="方正仿宋_GBK" w:cs="方正仿宋_GBK" w:hint="eastAsia"/>
          <w:sz w:val="32"/>
          <w:szCs w:val="32"/>
        </w:rPr>
        <w:lastRenderedPageBreak/>
        <w:t>具备开工条件向相关主管部门报备后即可开工。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六、推行建设项目“拿地即开工”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申请“拿地即开工”模式审批的建设项目</w:t>
      </w:r>
      <w:r>
        <w:rPr>
          <w:rFonts w:ascii="仿宋_GB2312" w:eastAsia="仿宋_GB2312" w:hAnsi="方正仿宋_GBK" w:cs="方正仿宋_GBK"/>
          <w:sz w:val="32"/>
          <w:szCs w:val="32"/>
        </w:rPr>
        <w:t>，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按照《灌南县社会投资类工程项目“拿地即开工”改革实施方案》（灌工改办〔2022〕2号），利用土地挂牌公示期，</w:t>
      </w:r>
      <w:r>
        <w:rPr>
          <w:rFonts w:ascii="仿宋_GB2312" w:eastAsia="仿宋_GB2312" w:hAnsi="方正仿宋_GBK" w:cs="方正仿宋_GBK"/>
          <w:sz w:val="32"/>
          <w:szCs w:val="32"/>
        </w:rPr>
        <w:t>相关审批部门根据项目实际，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提前进行模拟审批。</w:t>
      </w:r>
      <w:r>
        <w:rPr>
          <w:rFonts w:ascii="仿宋_GB2312" w:eastAsia="仿宋_GB2312" w:hAnsi="方正仿宋_GBK" w:cs="方正仿宋_GBK"/>
          <w:sz w:val="32"/>
          <w:szCs w:val="32"/>
        </w:rPr>
        <w:t>企业签订土地出让合同后，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尽快</w:t>
      </w:r>
      <w:r>
        <w:rPr>
          <w:rFonts w:ascii="仿宋_GB2312" w:eastAsia="仿宋_GB2312" w:hAnsi="方正仿宋_GBK" w:cs="方正仿宋_GBK"/>
          <w:sz w:val="32"/>
          <w:szCs w:val="32"/>
        </w:rPr>
        <w:t>完成开工建设前所有审批手续，满足企业开工条件。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七、优化市政公用服务报装接入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优化供水、供电、供气、排水、通信等市政公用服务报装流程，实行一表申请、一窗受理、一网通办、联合审批的服务模式。建设项目所需配套且在建筑区划红线外的市政公用服务报装，并入开工前许可阶段一并申请，属于小型市政公用设施接入服务，免于办理行政许可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八、做好服务保障和监督管理。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各单位要优化审批服务，明确专人负责，全流程做好服务工作，做到事前提供政策咨询、业务指导，事中开展沟通协调、督促推进，事后加强跟踪服务、精准保障。加强事中事后监管，按照“谁主管、谁监管”的原则，各行业主管部门做好监督管理工作。</w:t>
      </w:r>
    </w:p>
    <w:p w:rsidR="00C04C31" w:rsidRDefault="002F70C2">
      <w:pPr>
        <w:spacing w:line="520" w:lineRule="exact"/>
        <w:ind w:firstLineChars="200" w:firstLine="640"/>
        <w:rPr>
          <w:rFonts w:ascii="仿宋_GB2312" w:eastAsia="仿宋_GB2312" w:hAnsi="方正仿宋_GBK" w:cs="方正仿宋_GBK"/>
          <w:sz w:val="32"/>
          <w:szCs w:val="32"/>
        </w:rPr>
      </w:pPr>
      <w:r>
        <w:rPr>
          <w:rFonts w:ascii="仿宋_GB2312" w:eastAsia="仿宋_GB2312" w:hAnsi="方正仿宋_GBK" w:cs="方正仿宋_GBK" w:hint="eastAsia"/>
          <w:sz w:val="32"/>
          <w:szCs w:val="32"/>
        </w:rPr>
        <w:t>此件自发文之日起施行，</w:t>
      </w:r>
      <w:r w:rsidR="00026DBF">
        <w:rPr>
          <w:rFonts w:ascii="仿宋_GB2312" w:eastAsia="仿宋_GB2312" w:cs="仿宋_GB2312" w:hint="eastAsia"/>
          <w:kern w:val="0"/>
          <w:sz w:val="32"/>
          <w:szCs w:val="32"/>
          <w:lang w:val="zh-CN"/>
        </w:rPr>
        <w:t>有效期暂定一年。</w:t>
      </w:r>
      <w:r>
        <w:rPr>
          <w:rFonts w:ascii="仿宋_GB2312" w:eastAsia="仿宋_GB2312" w:hAnsi="方正仿宋_GBK" w:cs="方正仿宋_GBK" w:hint="eastAsia"/>
          <w:sz w:val="32"/>
          <w:szCs w:val="32"/>
        </w:rPr>
        <w:t>有效期满，将根据实际情况及相关政策进行评估并修订完善。</w:t>
      </w:r>
    </w:p>
    <w:sectPr w:rsidR="00C04C31" w:rsidSect="00C04C3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F3A"/>
    <w:rsid w:val="00026DBF"/>
    <w:rsid w:val="00042FEC"/>
    <w:rsid w:val="00065097"/>
    <w:rsid w:val="00070964"/>
    <w:rsid w:val="00076854"/>
    <w:rsid w:val="000940FD"/>
    <w:rsid w:val="000A2B72"/>
    <w:rsid w:val="000A4683"/>
    <w:rsid w:val="000E3AD1"/>
    <w:rsid w:val="000F766E"/>
    <w:rsid w:val="001047F7"/>
    <w:rsid w:val="00115B09"/>
    <w:rsid w:val="001375CB"/>
    <w:rsid w:val="00142E15"/>
    <w:rsid w:val="00154364"/>
    <w:rsid w:val="001609A6"/>
    <w:rsid w:val="0018007B"/>
    <w:rsid w:val="001A4CBF"/>
    <w:rsid w:val="001C2055"/>
    <w:rsid w:val="0020794E"/>
    <w:rsid w:val="00232535"/>
    <w:rsid w:val="002425E3"/>
    <w:rsid w:val="00247FF0"/>
    <w:rsid w:val="002609E7"/>
    <w:rsid w:val="0026503A"/>
    <w:rsid w:val="002F70C2"/>
    <w:rsid w:val="002F7F71"/>
    <w:rsid w:val="00354B61"/>
    <w:rsid w:val="003A1D8B"/>
    <w:rsid w:val="003A1FDC"/>
    <w:rsid w:val="003F2F3A"/>
    <w:rsid w:val="00424158"/>
    <w:rsid w:val="004362CA"/>
    <w:rsid w:val="004412D4"/>
    <w:rsid w:val="00466BEE"/>
    <w:rsid w:val="0049081D"/>
    <w:rsid w:val="004C132E"/>
    <w:rsid w:val="004E4750"/>
    <w:rsid w:val="004F1045"/>
    <w:rsid w:val="005070BD"/>
    <w:rsid w:val="0051146F"/>
    <w:rsid w:val="00556459"/>
    <w:rsid w:val="006120A5"/>
    <w:rsid w:val="00614E9F"/>
    <w:rsid w:val="00666CE4"/>
    <w:rsid w:val="00673BE5"/>
    <w:rsid w:val="006C29A1"/>
    <w:rsid w:val="006E047F"/>
    <w:rsid w:val="00704D52"/>
    <w:rsid w:val="007641DE"/>
    <w:rsid w:val="00772248"/>
    <w:rsid w:val="00773372"/>
    <w:rsid w:val="00797972"/>
    <w:rsid w:val="007F1A04"/>
    <w:rsid w:val="00820BB0"/>
    <w:rsid w:val="00851BFE"/>
    <w:rsid w:val="008A2E87"/>
    <w:rsid w:val="008B3C0B"/>
    <w:rsid w:val="008C44BF"/>
    <w:rsid w:val="008F4D82"/>
    <w:rsid w:val="00902D19"/>
    <w:rsid w:val="009362D1"/>
    <w:rsid w:val="0098301F"/>
    <w:rsid w:val="0099573D"/>
    <w:rsid w:val="009A42A4"/>
    <w:rsid w:val="009A4EE2"/>
    <w:rsid w:val="00A06E90"/>
    <w:rsid w:val="00A23C72"/>
    <w:rsid w:val="00A56F50"/>
    <w:rsid w:val="00A72BEA"/>
    <w:rsid w:val="00AA1E1A"/>
    <w:rsid w:val="00AD2C1E"/>
    <w:rsid w:val="00B17FF6"/>
    <w:rsid w:val="00B21C9E"/>
    <w:rsid w:val="00B4472C"/>
    <w:rsid w:val="00B45B2B"/>
    <w:rsid w:val="00B4793C"/>
    <w:rsid w:val="00B51C74"/>
    <w:rsid w:val="00B6015C"/>
    <w:rsid w:val="00B750E9"/>
    <w:rsid w:val="00B77182"/>
    <w:rsid w:val="00B83215"/>
    <w:rsid w:val="00B96C1D"/>
    <w:rsid w:val="00BA7810"/>
    <w:rsid w:val="00BB5C58"/>
    <w:rsid w:val="00C04C31"/>
    <w:rsid w:val="00C055B9"/>
    <w:rsid w:val="00C5033A"/>
    <w:rsid w:val="00C62C08"/>
    <w:rsid w:val="00C7509E"/>
    <w:rsid w:val="00C90704"/>
    <w:rsid w:val="00CA37A7"/>
    <w:rsid w:val="00CA4FF1"/>
    <w:rsid w:val="00CD5DFB"/>
    <w:rsid w:val="00CE7209"/>
    <w:rsid w:val="00D224C2"/>
    <w:rsid w:val="00D25091"/>
    <w:rsid w:val="00D766D5"/>
    <w:rsid w:val="00DB2A98"/>
    <w:rsid w:val="00DB686F"/>
    <w:rsid w:val="00DE0FBE"/>
    <w:rsid w:val="00E11914"/>
    <w:rsid w:val="00E416ED"/>
    <w:rsid w:val="00E83A2D"/>
    <w:rsid w:val="00E94453"/>
    <w:rsid w:val="00EA6327"/>
    <w:rsid w:val="00EC3765"/>
    <w:rsid w:val="00F00A0A"/>
    <w:rsid w:val="00F30BB1"/>
    <w:rsid w:val="00F5711F"/>
    <w:rsid w:val="00F71512"/>
    <w:rsid w:val="00F745B6"/>
    <w:rsid w:val="00F87D5A"/>
    <w:rsid w:val="00F96EC9"/>
    <w:rsid w:val="00FD2A27"/>
    <w:rsid w:val="00FD2E7C"/>
    <w:rsid w:val="00FE4890"/>
    <w:rsid w:val="00FF7A1B"/>
    <w:rsid w:val="23DB110A"/>
    <w:rsid w:val="28F560D0"/>
    <w:rsid w:val="2941623D"/>
    <w:rsid w:val="447E521D"/>
    <w:rsid w:val="44AF3509"/>
    <w:rsid w:val="47AF3A9A"/>
    <w:rsid w:val="4D1D67EC"/>
    <w:rsid w:val="4E1A02DD"/>
    <w:rsid w:val="7BF2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C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C04C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spjbgs</dc:creator>
  <cp:lastModifiedBy>Windows</cp:lastModifiedBy>
  <cp:revision>2</cp:revision>
  <cp:lastPrinted>2025-02-17T08:19:00Z</cp:lastPrinted>
  <dcterms:created xsi:type="dcterms:W3CDTF">2025-02-21T02:13:00Z</dcterms:created>
  <dcterms:modified xsi:type="dcterms:W3CDTF">2025-02-21T02:13:00Z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0D7AAA90FF6E40DD9ABC0C30590F9A00_13</vt:lpwstr>
  </property>
  <property fmtid="{D5CDD505-2E9C-101B-9397-08002B2CF9AE}" pid="4" name="KSOTemplateDocerSaveRecord">
    <vt:lpwstr>eyJoZGlkIjoiNWYzYjdmZjYxYzIyYmIyNWJiYjExZmMyM2U1NTYzOTIiLCJ1c2VySWQiOiIxMTM1NTExMDY1In0=</vt:lpwstr>
  </property>
</Properties>
</file>